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F77EB" w14:textId="2B8BA2D0" w:rsidR="003B1277" w:rsidRPr="006B5C87" w:rsidRDefault="003B1277" w:rsidP="003B1277">
      <w:pPr>
        <w:jc w:val="center"/>
        <w:rPr>
          <w:rFonts w:cs="Arial"/>
          <w:sz w:val="40"/>
          <w:szCs w:val="40"/>
        </w:rPr>
      </w:pPr>
      <w:bookmarkStart w:id="0" w:name="_GoBack"/>
      <w:bookmarkEnd w:id="0"/>
      <w:r>
        <w:rPr>
          <w:rFonts w:cs="Arial"/>
          <w:noProof/>
          <w:sz w:val="40"/>
          <w:szCs w:val="40"/>
        </w:rPr>
        <w:drawing>
          <wp:inline distT="0" distB="0" distL="0" distR="0" wp14:anchorId="623087F1" wp14:editId="7ADC1DF6">
            <wp:extent cx="2463800" cy="139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23 at 11.06.09 am.png"/>
                    <pic:cNvPicPr/>
                  </pic:nvPicPr>
                  <pic:blipFill>
                    <a:blip r:embed="rId8">
                      <a:extLst>
                        <a:ext uri="{28A0092B-C50C-407E-A947-70E740481C1C}">
                          <a14:useLocalDpi xmlns:a14="http://schemas.microsoft.com/office/drawing/2010/main" val="0"/>
                        </a:ext>
                      </a:extLst>
                    </a:blip>
                    <a:stretch>
                      <a:fillRect/>
                    </a:stretch>
                  </pic:blipFill>
                  <pic:spPr>
                    <a:xfrm>
                      <a:off x="0" y="0"/>
                      <a:ext cx="2463800" cy="1397000"/>
                    </a:xfrm>
                    <a:prstGeom prst="rect">
                      <a:avLst/>
                    </a:prstGeom>
                  </pic:spPr>
                </pic:pic>
              </a:graphicData>
            </a:graphic>
          </wp:inline>
        </w:drawing>
      </w:r>
    </w:p>
    <w:p w14:paraId="1EA868E9" w14:textId="77777777" w:rsidR="003B1277" w:rsidRPr="00873517" w:rsidRDefault="003B1277" w:rsidP="003B1277">
      <w:pPr>
        <w:rPr>
          <w:rFonts w:cs="Arial"/>
          <w:szCs w:val="22"/>
        </w:rPr>
      </w:pPr>
    </w:p>
    <w:p w14:paraId="3DCD73E8" w14:textId="77777777" w:rsidR="003B1277" w:rsidRPr="00873517" w:rsidRDefault="003B1277" w:rsidP="003B1277">
      <w:pPr>
        <w:rPr>
          <w:rFonts w:cs="Arial"/>
          <w:szCs w:val="22"/>
        </w:rPr>
      </w:pPr>
    </w:p>
    <w:p w14:paraId="0DE46D24" w14:textId="77777777" w:rsidR="003B1277" w:rsidRPr="00873517" w:rsidRDefault="003B1277" w:rsidP="003B1277">
      <w:pPr>
        <w:rPr>
          <w:rFonts w:cs="Arial"/>
          <w:szCs w:val="22"/>
        </w:rPr>
      </w:pPr>
    </w:p>
    <w:p w14:paraId="0F3BBA19" w14:textId="77777777" w:rsidR="003B1277" w:rsidRDefault="003B1277" w:rsidP="003B1277">
      <w:pPr>
        <w:widowControl w:val="0"/>
        <w:rPr>
          <w:rFonts w:cs="Arial"/>
          <w:color w:val="000000"/>
        </w:rPr>
      </w:pPr>
    </w:p>
    <w:p w14:paraId="015F1785" w14:textId="77777777" w:rsidR="003B1277" w:rsidRPr="00EB1402" w:rsidRDefault="003B1277" w:rsidP="003B1277">
      <w:pPr>
        <w:rPr>
          <w:rFonts w:ascii="Times New Roman" w:hAnsi="Times New Roman"/>
          <w:sz w:val="24"/>
          <w:szCs w:val="24"/>
        </w:rPr>
      </w:pPr>
    </w:p>
    <w:p w14:paraId="3815F2E7" w14:textId="77777777" w:rsidR="003B1277" w:rsidRPr="00D25BE7" w:rsidRDefault="003B1277" w:rsidP="007155B6">
      <w:pPr>
        <w:spacing w:line="360" w:lineRule="auto"/>
        <w:jc w:val="center"/>
        <w:rPr>
          <w:rFonts w:asciiTheme="minorHAnsi" w:hAnsiTheme="minorHAnsi"/>
          <w:sz w:val="28"/>
          <w:szCs w:val="28"/>
        </w:rPr>
      </w:pPr>
      <w:r w:rsidRPr="00D25BE7">
        <w:rPr>
          <w:rFonts w:asciiTheme="minorHAnsi" w:hAnsiTheme="minorHAnsi"/>
          <w:sz w:val="28"/>
          <w:szCs w:val="28"/>
        </w:rPr>
        <w:t>MINISTRY OF FINANCE</w:t>
      </w:r>
    </w:p>
    <w:p w14:paraId="3D145A7E" w14:textId="0E405773" w:rsidR="003B1277" w:rsidRPr="00D25BE7" w:rsidRDefault="003B1277" w:rsidP="007155B6">
      <w:pPr>
        <w:spacing w:line="360" w:lineRule="auto"/>
        <w:jc w:val="center"/>
        <w:rPr>
          <w:rFonts w:asciiTheme="minorHAnsi" w:hAnsiTheme="minorHAnsi"/>
          <w:sz w:val="28"/>
          <w:szCs w:val="28"/>
        </w:rPr>
      </w:pPr>
      <w:r w:rsidRPr="00D25BE7">
        <w:rPr>
          <w:rFonts w:asciiTheme="minorHAnsi" w:hAnsiTheme="minorHAnsi"/>
          <w:sz w:val="28"/>
          <w:szCs w:val="28"/>
        </w:rPr>
        <w:t xml:space="preserve">PRIVATE SECTOR DEVELOPMENT </w:t>
      </w:r>
      <w:r w:rsidR="0078592D">
        <w:rPr>
          <w:rFonts w:asciiTheme="minorHAnsi" w:hAnsiTheme="minorHAnsi"/>
          <w:sz w:val="28"/>
          <w:szCs w:val="28"/>
        </w:rPr>
        <w:t>DEPARTMENT</w:t>
      </w:r>
    </w:p>
    <w:p w14:paraId="50E05928" w14:textId="77777777" w:rsidR="003B1277" w:rsidRPr="007155B6" w:rsidRDefault="003B1277" w:rsidP="007155B6">
      <w:pPr>
        <w:spacing w:line="360" w:lineRule="auto"/>
        <w:jc w:val="center"/>
        <w:rPr>
          <w:sz w:val="28"/>
          <w:szCs w:val="28"/>
        </w:rPr>
      </w:pPr>
    </w:p>
    <w:p w14:paraId="49C93503" w14:textId="77777777" w:rsidR="003B1277" w:rsidRPr="007155B6" w:rsidRDefault="003B1277" w:rsidP="007155B6">
      <w:pPr>
        <w:spacing w:line="360" w:lineRule="auto"/>
        <w:jc w:val="center"/>
        <w:rPr>
          <w:sz w:val="28"/>
          <w:szCs w:val="28"/>
        </w:rPr>
      </w:pPr>
    </w:p>
    <w:p w14:paraId="470399FE" w14:textId="77777777" w:rsidR="003B1277" w:rsidRPr="007155B6" w:rsidRDefault="003B1277" w:rsidP="007155B6">
      <w:pPr>
        <w:spacing w:line="360" w:lineRule="auto"/>
        <w:jc w:val="center"/>
        <w:rPr>
          <w:sz w:val="28"/>
          <w:szCs w:val="28"/>
        </w:rPr>
      </w:pPr>
    </w:p>
    <w:p w14:paraId="7037804F" w14:textId="77777777" w:rsidR="003B1277" w:rsidRPr="00D25BE7" w:rsidRDefault="003B1277" w:rsidP="007155B6">
      <w:pPr>
        <w:spacing w:line="360" w:lineRule="auto"/>
        <w:jc w:val="center"/>
        <w:rPr>
          <w:rFonts w:asciiTheme="minorHAnsi" w:hAnsiTheme="minorHAnsi"/>
          <w:sz w:val="28"/>
          <w:szCs w:val="28"/>
        </w:rPr>
      </w:pPr>
      <w:r w:rsidRPr="007155B6">
        <w:rPr>
          <w:sz w:val="28"/>
          <w:szCs w:val="28"/>
        </w:rPr>
        <w:br/>
      </w:r>
      <w:r w:rsidRPr="00D25BE7">
        <w:rPr>
          <w:rFonts w:asciiTheme="minorHAnsi" w:hAnsiTheme="minorHAnsi"/>
          <w:sz w:val="28"/>
          <w:szCs w:val="28"/>
        </w:rPr>
        <w:t>STATE OWNED ENTERPRISES</w:t>
      </w:r>
    </w:p>
    <w:p w14:paraId="1C424B24" w14:textId="6A4806E9" w:rsidR="003B1277" w:rsidRPr="00D25BE7" w:rsidRDefault="003B1277" w:rsidP="007155B6">
      <w:pPr>
        <w:spacing w:line="360" w:lineRule="auto"/>
        <w:jc w:val="center"/>
        <w:rPr>
          <w:rFonts w:asciiTheme="minorHAnsi" w:hAnsiTheme="minorHAnsi"/>
          <w:sz w:val="28"/>
          <w:szCs w:val="28"/>
        </w:rPr>
      </w:pPr>
      <w:r w:rsidRPr="00D25BE7">
        <w:rPr>
          <w:rFonts w:asciiTheme="minorHAnsi" w:hAnsiTheme="minorHAnsi"/>
          <w:sz w:val="28"/>
          <w:szCs w:val="28"/>
        </w:rPr>
        <w:t>ANNUAL REPORT FOR THE YEAR ENDED MARCH 201</w:t>
      </w:r>
      <w:r w:rsidR="00705A5B" w:rsidRPr="00D25BE7">
        <w:rPr>
          <w:rFonts w:asciiTheme="minorHAnsi" w:hAnsiTheme="minorHAnsi"/>
          <w:sz w:val="28"/>
          <w:szCs w:val="28"/>
        </w:rPr>
        <w:t>8</w:t>
      </w:r>
    </w:p>
    <w:p w14:paraId="3649620B" w14:textId="77777777" w:rsidR="003B1277" w:rsidRPr="00D25BE7" w:rsidRDefault="003B1277" w:rsidP="007155B6">
      <w:pPr>
        <w:spacing w:line="360" w:lineRule="auto"/>
        <w:jc w:val="center"/>
        <w:rPr>
          <w:rFonts w:asciiTheme="minorHAnsi" w:hAnsiTheme="minorHAnsi"/>
          <w:sz w:val="28"/>
          <w:szCs w:val="28"/>
          <w:u w:val="single"/>
        </w:rPr>
      </w:pPr>
    </w:p>
    <w:p w14:paraId="38432227" w14:textId="77777777" w:rsidR="003B1277" w:rsidRPr="007155B6" w:rsidRDefault="003B1277" w:rsidP="007155B6">
      <w:pPr>
        <w:spacing w:line="360" w:lineRule="auto"/>
        <w:jc w:val="center"/>
        <w:rPr>
          <w:rFonts w:cs="Arial"/>
          <w:color w:val="000000"/>
          <w:sz w:val="28"/>
          <w:szCs w:val="28"/>
        </w:rPr>
      </w:pPr>
    </w:p>
    <w:p w14:paraId="02820A10" w14:textId="77777777" w:rsidR="00AB32E6" w:rsidRPr="007155B6" w:rsidRDefault="00AB32E6" w:rsidP="007155B6">
      <w:pPr>
        <w:spacing w:line="360" w:lineRule="auto"/>
        <w:jc w:val="center"/>
        <w:rPr>
          <w:rFonts w:cs="Arial"/>
          <w:color w:val="000000"/>
          <w:sz w:val="28"/>
          <w:szCs w:val="28"/>
        </w:rPr>
      </w:pPr>
    </w:p>
    <w:p w14:paraId="51C8BDC3" w14:textId="77777777" w:rsidR="00AB32E6" w:rsidRPr="007155B6" w:rsidRDefault="00AB32E6" w:rsidP="007155B6">
      <w:pPr>
        <w:spacing w:line="360" w:lineRule="auto"/>
        <w:jc w:val="center"/>
        <w:rPr>
          <w:rFonts w:cs="Arial"/>
          <w:color w:val="000000"/>
          <w:sz w:val="28"/>
          <w:szCs w:val="28"/>
        </w:rPr>
      </w:pPr>
    </w:p>
    <w:p w14:paraId="1D24B34B" w14:textId="77777777" w:rsidR="00AB32E6" w:rsidRPr="007155B6" w:rsidRDefault="00AB32E6" w:rsidP="007155B6">
      <w:pPr>
        <w:spacing w:line="360" w:lineRule="auto"/>
        <w:jc w:val="center"/>
        <w:rPr>
          <w:rFonts w:cs="Arial"/>
          <w:color w:val="000000"/>
          <w:sz w:val="28"/>
          <w:szCs w:val="28"/>
        </w:rPr>
      </w:pPr>
    </w:p>
    <w:p w14:paraId="23FEF95F" w14:textId="77777777" w:rsidR="003B1277" w:rsidRDefault="003B1277" w:rsidP="003B1277">
      <w:pPr>
        <w:widowControl w:val="0"/>
        <w:rPr>
          <w:rFonts w:cs="Arial"/>
          <w:color w:val="000000"/>
        </w:rPr>
      </w:pPr>
    </w:p>
    <w:p w14:paraId="07B1830A" w14:textId="77777777" w:rsidR="003B1277" w:rsidRDefault="003B1277" w:rsidP="003B1277">
      <w:pPr>
        <w:widowControl w:val="0"/>
        <w:rPr>
          <w:rFonts w:cs="Arial"/>
          <w:color w:val="000000"/>
        </w:rPr>
      </w:pPr>
    </w:p>
    <w:p w14:paraId="3FFCBBB9" w14:textId="77777777" w:rsidR="003B1277" w:rsidRDefault="003B1277" w:rsidP="003B1277">
      <w:pPr>
        <w:widowControl w:val="0"/>
        <w:rPr>
          <w:rFonts w:cs="Arial"/>
          <w:color w:val="000000"/>
        </w:rPr>
      </w:pPr>
    </w:p>
    <w:p w14:paraId="5DBA7EAC" w14:textId="77777777" w:rsidR="003B1277" w:rsidRDefault="003B1277" w:rsidP="003B1277">
      <w:pPr>
        <w:widowControl w:val="0"/>
        <w:rPr>
          <w:rFonts w:cs="Arial"/>
          <w:color w:val="000000"/>
        </w:rPr>
      </w:pPr>
    </w:p>
    <w:p w14:paraId="569A7DDA" w14:textId="77777777" w:rsidR="003B1277" w:rsidRPr="00D25BE7" w:rsidRDefault="003B1277" w:rsidP="003B1277">
      <w:pPr>
        <w:widowControl w:val="0"/>
        <w:rPr>
          <w:rFonts w:asciiTheme="minorHAnsi" w:hAnsiTheme="minorHAnsi" w:cs="Arial"/>
          <w:color w:val="000000"/>
        </w:rPr>
      </w:pPr>
    </w:p>
    <w:p w14:paraId="7FDAE736" w14:textId="77777777" w:rsidR="003B1277" w:rsidRPr="00D25BE7" w:rsidRDefault="003B1277" w:rsidP="003B1277">
      <w:pPr>
        <w:widowControl w:val="0"/>
        <w:rPr>
          <w:rFonts w:asciiTheme="minorHAnsi" w:hAnsiTheme="minorHAnsi" w:cs="Arial"/>
          <w:color w:val="000000"/>
        </w:rPr>
      </w:pPr>
      <w:r w:rsidRPr="00D25BE7">
        <w:rPr>
          <w:rFonts w:asciiTheme="minorHAnsi" w:hAnsiTheme="minorHAnsi" w:cs="Arial"/>
          <w:szCs w:val="22"/>
        </w:rPr>
        <w:t>Prepared By:</w:t>
      </w:r>
    </w:p>
    <w:p w14:paraId="0BE50CB7" w14:textId="12E633C4" w:rsidR="003B1277" w:rsidRDefault="00AB32E6" w:rsidP="003B1277">
      <w:pPr>
        <w:rPr>
          <w:rFonts w:asciiTheme="minorHAnsi" w:hAnsiTheme="minorHAnsi" w:cs="Arial"/>
          <w:szCs w:val="22"/>
        </w:rPr>
      </w:pPr>
      <w:r w:rsidRPr="00D25BE7">
        <w:rPr>
          <w:rFonts w:asciiTheme="minorHAnsi" w:hAnsiTheme="minorHAnsi" w:cs="Arial"/>
          <w:szCs w:val="22"/>
        </w:rPr>
        <w:t xml:space="preserve">Private Sector Development </w:t>
      </w:r>
      <w:r w:rsidR="00E7710F">
        <w:rPr>
          <w:rFonts w:asciiTheme="minorHAnsi" w:hAnsiTheme="minorHAnsi" w:cs="Arial"/>
          <w:szCs w:val="22"/>
        </w:rPr>
        <w:t xml:space="preserve">and Financial Affairs </w:t>
      </w:r>
      <w:r w:rsidR="00D54B96">
        <w:rPr>
          <w:rFonts w:asciiTheme="minorHAnsi" w:hAnsiTheme="minorHAnsi" w:cs="Arial"/>
          <w:szCs w:val="22"/>
        </w:rPr>
        <w:t>Department</w:t>
      </w:r>
    </w:p>
    <w:p w14:paraId="600FBCF4" w14:textId="56D0C850" w:rsidR="0078592D" w:rsidRDefault="0078592D">
      <w:pPr>
        <w:jc w:val="left"/>
        <w:rPr>
          <w:rFonts w:asciiTheme="minorHAnsi" w:hAnsiTheme="minorHAnsi" w:cs="Arial"/>
          <w:szCs w:val="22"/>
        </w:rPr>
      </w:pPr>
      <w:r>
        <w:rPr>
          <w:rFonts w:asciiTheme="minorHAnsi" w:hAnsiTheme="minorHAnsi" w:cs="Arial"/>
          <w:szCs w:val="22"/>
        </w:rPr>
        <w:br w:type="page"/>
      </w:r>
    </w:p>
    <w:p w14:paraId="22A17F94" w14:textId="77777777" w:rsidR="0078592D" w:rsidRPr="00D25BE7" w:rsidRDefault="0078592D" w:rsidP="003B1277">
      <w:pPr>
        <w:rPr>
          <w:rFonts w:asciiTheme="minorHAnsi" w:hAnsiTheme="minorHAnsi" w:cs="Arial"/>
          <w:szCs w:val="22"/>
        </w:rPr>
      </w:pPr>
    </w:p>
    <w:p w14:paraId="6D2572F6" w14:textId="77777777" w:rsidR="00AB32E6" w:rsidRPr="00D25BE7" w:rsidRDefault="00AB32E6" w:rsidP="003B1277">
      <w:pPr>
        <w:rPr>
          <w:rFonts w:asciiTheme="minorHAnsi" w:hAnsiTheme="minorHAnsi" w:cs="Arial"/>
          <w:szCs w:val="22"/>
        </w:rPr>
      </w:pPr>
    </w:p>
    <w:p w14:paraId="50B84732" w14:textId="77777777" w:rsidR="00AB32E6" w:rsidRPr="00D25BE7" w:rsidRDefault="00AB32E6" w:rsidP="003B1277">
      <w:pPr>
        <w:rPr>
          <w:rFonts w:asciiTheme="minorHAnsi" w:hAnsiTheme="minorHAnsi" w:cs="Arial"/>
          <w:szCs w:val="22"/>
        </w:rPr>
      </w:pPr>
    </w:p>
    <w:p w14:paraId="48901E82" w14:textId="662C3E2D" w:rsidR="00AB32E6" w:rsidRPr="00D25BE7" w:rsidRDefault="00D77DDA" w:rsidP="003B1277">
      <w:pPr>
        <w:rPr>
          <w:rFonts w:asciiTheme="minorHAnsi" w:hAnsiTheme="minorHAnsi" w:cs="Arial"/>
          <w:szCs w:val="22"/>
        </w:rPr>
      </w:pPr>
      <w:r w:rsidRPr="00D25BE7">
        <w:rPr>
          <w:rFonts w:asciiTheme="minorHAnsi" w:hAnsiTheme="minorHAnsi" w:cs="Arial"/>
          <w:szCs w:val="22"/>
        </w:rPr>
        <w:t>June 2020</w:t>
      </w:r>
    </w:p>
    <w:p w14:paraId="5BEF36CB" w14:textId="77777777" w:rsidR="003B1277" w:rsidRPr="00D25BE7" w:rsidRDefault="003B1277" w:rsidP="003B1277">
      <w:pPr>
        <w:rPr>
          <w:rFonts w:asciiTheme="minorHAnsi" w:hAnsiTheme="minorHAnsi" w:cs="Arial"/>
          <w:sz w:val="36"/>
          <w:szCs w:val="36"/>
        </w:rPr>
      </w:pPr>
    </w:p>
    <w:bookmarkStart w:id="1" w:name="_Toc440379064"/>
    <w:p w14:paraId="2E7703DC" w14:textId="77777777" w:rsidR="0025521B" w:rsidRDefault="0025521B" w:rsidP="003B1277">
      <w:pPr>
        <w:jc w:val="center"/>
        <w:rPr>
          <w:b/>
        </w:rPr>
      </w:pPr>
      <w:r>
        <w:rPr>
          <w:noProof/>
        </w:rPr>
        <mc:AlternateContent>
          <mc:Choice Requires="wps">
            <w:drawing>
              <wp:anchor distT="0" distB="0" distL="114300" distR="114300" simplePos="0" relativeHeight="251661312" behindDoc="0" locked="0" layoutInCell="1" allowOverlap="1" wp14:anchorId="3D9F6610" wp14:editId="1FAE5B69">
                <wp:simplePos x="0" y="0"/>
                <wp:positionH relativeFrom="column">
                  <wp:posOffset>2720051</wp:posOffset>
                </wp:positionH>
                <wp:positionV relativeFrom="paragraph">
                  <wp:posOffset>57</wp:posOffset>
                </wp:positionV>
                <wp:extent cx="3368233" cy="453824"/>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3368233" cy="453824"/>
                        </a:xfrm>
                        <a:prstGeom prst="rect">
                          <a:avLst/>
                        </a:prstGeom>
                        <a:noFill/>
                        <a:ln w="6350">
                          <a:noFill/>
                        </a:ln>
                      </wps:spPr>
                      <wps:txbx>
                        <w:txbxContent>
                          <w:p w14:paraId="2BCAD459" w14:textId="2167222D" w:rsidR="004503F3" w:rsidRPr="0025521B" w:rsidRDefault="004503F3" w:rsidP="0025521B">
                            <w:pPr>
                              <w:jc w:val="center"/>
                              <w:rPr>
                                <w:b/>
                                <w:sz w:val="28"/>
                                <w:szCs w:val="28"/>
                              </w:rPr>
                            </w:pPr>
                            <w:r w:rsidRPr="0025521B">
                              <w:rPr>
                                <w:b/>
                                <w:sz w:val="28"/>
                                <w:szCs w:val="28"/>
                              </w:rPr>
                              <w:t>MINISTRY OF FINANCE</w:t>
                            </w:r>
                          </w:p>
                          <w:p w14:paraId="0C96E0A8" w14:textId="532514FA" w:rsidR="004503F3" w:rsidRPr="0025521B" w:rsidRDefault="004503F3" w:rsidP="0025521B">
                            <w:pPr>
                              <w:jc w:val="center"/>
                            </w:pPr>
                            <w:r w:rsidRPr="0025521B">
                              <w:t>P</w:t>
                            </w:r>
                            <w:r>
                              <w:t>RIVATE</w:t>
                            </w:r>
                            <w:r w:rsidRPr="0025521B">
                              <w:t xml:space="preserve"> SECTOR DEVELOPMENT DIVISION</w:t>
                            </w:r>
                          </w:p>
                          <w:p w14:paraId="1F411E98" w14:textId="77777777" w:rsidR="004503F3" w:rsidRPr="005162D2" w:rsidRDefault="004503F3" w:rsidP="001342D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F6610" id="_x0000_t202" coordsize="21600,21600" o:spt="202" path="m,l,21600r21600,l21600,xe">
                <v:stroke joinstyle="miter"/>
                <v:path gradientshapeok="t" o:connecttype="rect"/>
              </v:shapetype>
              <v:shape id="Text Box 23" o:spid="_x0000_s1026" type="#_x0000_t202" style="position:absolute;left:0;text-align:left;margin-left:214.2pt;margin-top:0;width:265.2pt;height: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" filled="f" stroked="f" strokeweight=".5pt">
                <v:textbox>
                  <w:txbxContent>
                    <w:p w14:paraId="2BCAD459" w14:textId="2167222D" w:rsidR="004503F3" w:rsidRPr="0025521B" w:rsidRDefault="004503F3" w:rsidP="0025521B">
                      <w:pPr>
                        <w:jc w:val="center"/>
                        <w:rPr>
                          <w:b/>
                          <w:sz w:val="28"/>
                          <w:szCs w:val="28"/>
                        </w:rPr>
                      </w:pPr>
                      <w:r w:rsidRPr="0025521B">
                        <w:rPr>
                          <w:b/>
                          <w:sz w:val="28"/>
                          <w:szCs w:val="28"/>
                        </w:rPr>
                        <w:t>MINISTRY OF FINANCE</w:t>
                      </w:r>
                    </w:p>
                    <w:p w14:paraId="0C96E0A8" w14:textId="532514FA" w:rsidR="004503F3" w:rsidRPr="0025521B" w:rsidRDefault="004503F3" w:rsidP="0025521B">
                      <w:pPr>
                        <w:jc w:val="center"/>
                      </w:pPr>
                      <w:r w:rsidRPr="0025521B">
                        <w:t>P</w:t>
                      </w:r>
                      <w:r>
                        <w:t>RIVATE</w:t>
                      </w:r>
                      <w:r w:rsidRPr="0025521B">
                        <w:t xml:space="preserve"> SECTOR DEVELOPMENT DIVISION</w:t>
                      </w:r>
                    </w:p>
                    <w:p w14:paraId="1F411E98" w14:textId="77777777" w:rsidR="004503F3" w:rsidRPr="005162D2" w:rsidRDefault="004503F3" w:rsidP="001342D4">
                      <w:pPr>
                        <w:jc w:val="center"/>
                        <w:rPr>
                          <w:b/>
                        </w:rPr>
                      </w:pPr>
                    </w:p>
                  </w:txbxContent>
                </v:textbox>
                <w10:wrap type="square"/>
              </v:shape>
            </w:pict>
          </mc:Fallback>
        </mc:AlternateContent>
      </w:r>
      <w:r>
        <w:rPr>
          <w:b/>
          <w:noProof/>
        </w:rPr>
        <mc:AlternateContent>
          <mc:Choice Requires="wps">
            <w:drawing>
              <wp:anchor distT="0" distB="0" distL="114300" distR="114300" simplePos="0" relativeHeight="251659264" behindDoc="0" locked="0" layoutInCell="1" allowOverlap="1" wp14:anchorId="41A21010" wp14:editId="4F6DBC33">
                <wp:simplePos x="0" y="0"/>
                <wp:positionH relativeFrom="column">
                  <wp:posOffset>-46524</wp:posOffset>
                </wp:positionH>
                <wp:positionV relativeFrom="paragraph">
                  <wp:posOffset>-416922</wp:posOffset>
                </wp:positionV>
                <wp:extent cx="2210765" cy="1203767"/>
                <wp:effectExtent l="0" t="0" r="0" b="3175"/>
                <wp:wrapNone/>
                <wp:docPr id="22" name="Text Box 22"/>
                <wp:cNvGraphicFramePr/>
                <a:graphic xmlns:a="http://schemas.openxmlformats.org/drawingml/2006/main">
                  <a:graphicData uri="http://schemas.microsoft.com/office/word/2010/wordprocessingShape">
                    <wps:wsp>
                      <wps:cNvSpPr txBox="1"/>
                      <wps:spPr>
                        <a:xfrm>
                          <a:off x="0" y="0"/>
                          <a:ext cx="2210765" cy="1203767"/>
                        </a:xfrm>
                        <a:prstGeom prst="rect">
                          <a:avLst/>
                        </a:prstGeom>
                        <a:solidFill>
                          <a:schemeClr val="lt1"/>
                        </a:solidFill>
                        <a:ln w="6350">
                          <a:noFill/>
                        </a:ln>
                      </wps:spPr>
                      <wps:txbx>
                        <w:txbxContent>
                          <w:p w14:paraId="5060539E" w14:textId="41AAA774" w:rsidR="004503F3" w:rsidRDefault="004503F3">
                            <w:r>
                              <w:rPr>
                                <w:rFonts w:cs="Arial"/>
                                <w:noProof/>
                                <w:sz w:val="40"/>
                                <w:szCs w:val="40"/>
                              </w:rPr>
                              <w:drawing>
                                <wp:inline distT="0" distB="0" distL="0" distR="0" wp14:anchorId="4AE6E016" wp14:editId="77067024">
                                  <wp:extent cx="2021205" cy="104908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23 at 11.06.09 am.png"/>
                                          <pic:cNvPicPr/>
                                        </pic:nvPicPr>
                                        <pic:blipFill>
                                          <a:blip r:embed="rId8">
                                            <a:extLst>
                                              <a:ext uri="{28A0092B-C50C-407E-A947-70E740481C1C}">
                                                <a14:useLocalDpi xmlns:a14="http://schemas.microsoft.com/office/drawing/2010/main" val="0"/>
                                              </a:ext>
                                            </a:extLst>
                                          </a:blip>
                                          <a:stretch>
                                            <a:fillRect/>
                                          </a:stretch>
                                        </pic:blipFill>
                                        <pic:spPr>
                                          <a:xfrm>
                                            <a:off x="0" y="0"/>
                                            <a:ext cx="2021205" cy="10490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21010" id="Text Box 22" o:spid="_x0000_s1027" type="#_x0000_t202" style="position:absolute;left:0;text-align:left;margin-left:-3.65pt;margin-top:-32.85pt;width:174.1pt;height: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" fillcolor="white [3201]" stroked="f" strokeweight=".5pt">
                <v:textbox>
                  <w:txbxContent>
                    <w:p w14:paraId="5060539E" w14:textId="41AAA774" w:rsidR="004503F3" w:rsidRDefault="004503F3">
                      <w:r>
                        <w:rPr>
                          <w:rFonts w:cs="Arial"/>
                          <w:noProof/>
                          <w:sz w:val="40"/>
                          <w:szCs w:val="40"/>
                        </w:rPr>
                        <w:drawing>
                          <wp:inline distT="0" distB="0" distL="0" distR="0" wp14:anchorId="4AE6E016" wp14:editId="77067024">
                            <wp:extent cx="2021205" cy="104908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23 at 11.06.09 am.png"/>
                                    <pic:cNvPicPr/>
                                  </pic:nvPicPr>
                                  <pic:blipFill>
                                    <a:blip r:embed="rId9">
                                      <a:extLst>
                                        <a:ext uri="{28A0092B-C50C-407E-A947-70E740481C1C}">
                                          <a14:useLocalDpi xmlns:a14="http://schemas.microsoft.com/office/drawing/2010/main" val="0"/>
                                        </a:ext>
                                      </a:extLst>
                                    </a:blip>
                                    <a:stretch>
                                      <a:fillRect/>
                                    </a:stretch>
                                  </pic:blipFill>
                                  <pic:spPr>
                                    <a:xfrm>
                                      <a:off x="0" y="0"/>
                                      <a:ext cx="2021205" cy="1049087"/>
                                    </a:xfrm>
                                    <a:prstGeom prst="rect">
                                      <a:avLst/>
                                    </a:prstGeom>
                                  </pic:spPr>
                                </pic:pic>
                              </a:graphicData>
                            </a:graphic>
                          </wp:inline>
                        </w:drawing>
                      </w:r>
                    </w:p>
                  </w:txbxContent>
                </v:textbox>
              </v:shape>
            </w:pict>
          </mc:Fallback>
        </mc:AlternateContent>
      </w:r>
    </w:p>
    <w:p w14:paraId="28ECEB94" w14:textId="77777777" w:rsidR="005353D8" w:rsidRPr="005353D8" w:rsidRDefault="005353D8" w:rsidP="005353D8"/>
    <w:p w14:paraId="056353EC" w14:textId="77777777" w:rsidR="005353D8" w:rsidRPr="005353D8" w:rsidRDefault="005353D8" w:rsidP="005353D8"/>
    <w:p w14:paraId="1AFAF9CA" w14:textId="77777777" w:rsidR="005353D8" w:rsidRPr="005353D8" w:rsidRDefault="005353D8" w:rsidP="005353D8"/>
    <w:p w14:paraId="1ED7B06B" w14:textId="77777777" w:rsidR="005353D8" w:rsidRPr="005353D8" w:rsidRDefault="005353D8" w:rsidP="005353D8"/>
    <w:p w14:paraId="7E81CF91" w14:textId="77777777" w:rsidR="005353D8" w:rsidRPr="005353D8" w:rsidRDefault="005353D8" w:rsidP="005353D8"/>
    <w:p w14:paraId="7E399481" w14:textId="77777777" w:rsidR="005353D8" w:rsidRPr="00D25BE7" w:rsidRDefault="005353D8" w:rsidP="005353D8">
      <w:pPr>
        <w:rPr>
          <w:rFonts w:asciiTheme="minorHAnsi" w:hAnsiTheme="minorHAnsi"/>
          <w:lang w:val="en-GB"/>
        </w:rPr>
      </w:pPr>
    </w:p>
    <w:p w14:paraId="25D25E68" w14:textId="42AEBC42" w:rsidR="005353D8" w:rsidRPr="00D25BE7" w:rsidRDefault="001E16D5" w:rsidP="005353D8">
      <w:pPr>
        <w:jc w:val="left"/>
        <w:rPr>
          <w:rFonts w:asciiTheme="minorHAnsi" w:hAnsiTheme="minorHAnsi"/>
          <w:lang w:val="en-GB"/>
        </w:rPr>
      </w:pPr>
      <w:r w:rsidRPr="00D25BE7">
        <w:rPr>
          <w:rFonts w:asciiTheme="minorHAnsi" w:hAnsiTheme="minorHAnsi"/>
          <w:lang w:val="en-GB"/>
        </w:rPr>
        <w:t>30 June 2020</w:t>
      </w:r>
    </w:p>
    <w:p w14:paraId="239F4D3D" w14:textId="3162EA56" w:rsidR="005353D8" w:rsidRPr="00D25BE7" w:rsidRDefault="005353D8" w:rsidP="005353D8">
      <w:pPr>
        <w:jc w:val="left"/>
        <w:rPr>
          <w:rFonts w:asciiTheme="minorHAnsi" w:hAnsiTheme="minorHAnsi"/>
          <w:lang w:val="en-GB"/>
        </w:rPr>
      </w:pPr>
    </w:p>
    <w:p w14:paraId="0B9C5E43" w14:textId="77777777" w:rsidR="00DC2F69" w:rsidRPr="00D25BE7" w:rsidRDefault="00DC2F69" w:rsidP="00A75323">
      <w:pPr>
        <w:jc w:val="center"/>
        <w:rPr>
          <w:rFonts w:asciiTheme="minorHAnsi" w:hAnsiTheme="minorHAnsi"/>
          <w:u w:val="single"/>
          <w:lang w:val="en-GB"/>
        </w:rPr>
      </w:pPr>
      <w:r w:rsidRPr="00D25BE7">
        <w:rPr>
          <w:rFonts w:asciiTheme="minorHAnsi" w:hAnsiTheme="minorHAnsi"/>
          <w:u w:val="single"/>
          <w:lang w:val="en-GB"/>
        </w:rPr>
        <w:t>State-Owned Enterprise Annual Report for 2017/18</w:t>
      </w:r>
    </w:p>
    <w:p w14:paraId="08D8DCB3" w14:textId="77777777" w:rsidR="00DC2F69" w:rsidRPr="00D25BE7" w:rsidRDefault="00DC2F69" w:rsidP="00DC2F69">
      <w:pPr>
        <w:tabs>
          <w:tab w:val="left" w:pos="729"/>
        </w:tabs>
        <w:rPr>
          <w:rFonts w:asciiTheme="minorHAnsi" w:hAnsiTheme="minorHAnsi"/>
          <w:lang w:val="en-GB"/>
        </w:rPr>
      </w:pPr>
    </w:p>
    <w:p w14:paraId="029786E3" w14:textId="77777777" w:rsidR="00DC2F69" w:rsidRPr="00D25BE7" w:rsidRDefault="00DC2F69" w:rsidP="00DC2F69">
      <w:pPr>
        <w:tabs>
          <w:tab w:val="left" w:pos="729"/>
        </w:tabs>
        <w:rPr>
          <w:rFonts w:asciiTheme="minorHAnsi" w:hAnsiTheme="minorHAnsi"/>
          <w:lang w:val="en-GB"/>
        </w:rPr>
      </w:pPr>
    </w:p>
    <w:p w14:paraId="0A1E6D5D" w14:textId="77777777" w:rsidR="00DC2F69" w:rsidRPr="00D25BE7" w:rsidRDefault="00DC2F69" w:rsidP="00DC2F69">
      <w:pPr>
        <w:tabs>
          <w:tab w:val="left" w:pos="729"/>
        </w:tabs>
        <w:rPr>
          <w:rFonts w:asciiTheme="minorHAnsi" w:hAnsiTheme="minorHAnsi"/>
          <w:lang w:val="en-GB"/>
        </w:rPr>
      </w:pPr>
      <w:r w:rsidRPr="00D25BE7">
        <w:rPr>
          <w:rFonts w:asciiTheme="minorHAnsi" w:hAnsiTheme="minorHAnsi"/>
          <w:lang w:val="en-GB"/>
        </w:rPr>
        <w:t>Honourable Minister of Finance</w:t>
      </w:r>
    </w:p>
    <w:p w14:paraId="21FF8E45" w14:textId="77777777" w:rsidR="00DC2F69" w:rsidRPr="00D25BE7" w:rsidRDefault="00DC2F69" w:rsidP="00DC2F69">
      <w:pPr>
        <w:tabs>
          <w:tab w:val="left" w:pos="729"/>
        </w:tabs>
        <w:rPr>
          <w:rFonts w:asciiTheme="minorHAnsi" w:hAnsiTheme="minorHAnsi"/>
          <w:lang w:val="en-GB"/>
        </w:rPr>
      </w:pPr>
    </w:p>
    <w:p w14:paraId="6401A1AA" w14:textId="2D899415" w:rsidR="00DC2F69" w:rsidRPr="00D25BE7" w:rsidRDefault="00DC2F69" w:rsidP="00DC2F69">
      <w:pPr>
        <w:tabs>
          <w:tab w:val="left" w:pos="729"/>
        </w:tabs>
        <w:rPr>
          <w:rFonts w:asciiTheme="minorHAnsi" w:hAnsiTheme="minorHAnsi"/>
          <w:lang w:val="en-GB"/>
        </w:rPr>
      </w:pPr>
      <w:r w:rsidRPr="00D25BE7">
        <w:rPr>
          <w:rFonts w:asciiTheme="minorHAnsi" w:hAnsiTheme="minorHAnsi"/>
          <w:lang w:val="en-GB"/>
        </w:rPr>
        <w:t xml:space="preserve">It is with pleasure that on behalf of the </w:t>
      </w:r>
      <w:r w:rsidR="005777B6">
        <w:rPr>
          <w:rFonts w:asciiTheme="minorHAnsi" w:hAnsiTheme="minorHAnsi"/>
          <w:lang w:val="en-GB"/>
        </w:rPr>
        <w:t>Private</w:t>
      </w:r>
      <w:r w:rsidR="005777B6" w:rsidRPr="00D25BE7">
        <w:rPr>
          <w:rFonts w:asciiTheme="minorHAnsi" w:hAnsiTheme="minorHAnsi"/>
          <w:lang w:val="en-GB"/>
        </w:rPr>
        <w:t xml:space="preserve"> </w:t>
      </w:r>
      <w:r w:rsidRPr="00D25BE7">
        <w:rPr>
          <w:rFonts w:asciiTheme="minorHAnsi" w:hAnsiTheme="minorHAnsi"/>
          <w:lang w:val="en-GB"/>
        </w:rPr>
        <w:t xml:space="preserve">Sector Development Division </w:t>
      </w:r>
      <w:r w:rsidR="00244AD7">
        <w:rPr>
          <w:rFonts w:asciiTheme="minorHAnsi" w:hAnsiTheme="minorHAnsi"/>
          <w:lang w:val="en-GB"/>
        </w:rPr>
        <w:t xml:space="preserve">(PSD) </w:t>
      </w:r>
      <w:r w:rsidRPr="00D25BE7">
        <w:rPr>
          <w:rFonts w:asciiTheme="minorHAnsi" w:hAnsiTheme="minorHAnsi"/>
          <w:lang w:val="en-GB"/>
        </w:rPr>
        <w:t>I issue the Annual Report on the performance of State-Owned Enterprises, for the year ended 2017/18.</w:t>
      </w:r>
    </w:p>
    <w:p w14:paraId="2DA3E43B" w14:textId="77777777" w:rsidR="00DC2F69" w:rsidRPr="00D25BE7" w:rsidRDefault="00DC2F69" w:rsidP="00DC2F69">
      <w:pPr>
        <w:tabs>
          <w:tab w:val="left" w:pos="729"/>
        </w:tabs>
        <w:rPr>
          <w:rFonts w:asciiTheme="minorHAnsi" w:hAnsiTheme="minorHAnsi"/>
          <w:lang w:val="en-GB"/>
        </w:rPr>
      </w:pPr>
    </w:p>
    <w:p w14:paraId="03776D60" w14:textId="77777777" w:rsidR="00DC2F69" w:rsidRPr="00D25BE7" w:rsidRDefault="00DC2F69" w:rsidP="00DC2F69">
      <w:pPr>
        <w:tabs>
          <w:tab w:val="left" w:pos="729"/>
        </w:tabs>
        <w:rPr>
          <w:rFonts w:asciiTheme="minorHAnsi" w:hAnsiTheme="minorHAnsi"/>
          <w:lang w:val="en-GB"/>
        </w:rPr>
      </w:pPr>
      <w:r w:rsidRPr="00D25BE7">
        <w:rPr>
          <w:rFonts w:asciiTheme="minorHAnsi" w:hAnsiTheme="minorHAnsi"/>
          <w:lang w:val="en-GB"/>
        </w:rPr>
        <w:t>This report has been achieved with technical assistance that is important to acknowledge; the role of World Bank funding and consulting support services.</w:t>
      </w:r>
    </w:p>
    <w:p w14:paraId="17ABA95C" w14:textId="77777777" w:rsidR="00DC2F69" w:rsidRPr="00D25BE7" w:rsidRDefault="00DC2F69" w:rsidP="00DC2F69">
      <w:pPr>
        <w:tabs>
          <w:tab w:val="left" w:pos="729"/>
        </w:tabs>
        <w:rPr>
          <w:rFonts w:asciiTheme="minorHAnsi" w:hAnsiTheme="minorHAnsi"/>
          <w:lang w:val="en-GB"/>
        </w:rPr>
      </w:pPr>
    </w:p>
    <w:p w14:paraId="2F8CEBB7" w14:textId="77777777" w:rsidR="00DC2F69" w:rsidRPr="00D25BE7" w:rsidRDefault="00DC2F69" w:rsidP="00DC2F69">
      <w:pPr>
        <w:tabs>
          <w:tab w:val="left" w:pos="729"/>
        </w:tabs>
        <w:rPr>
          <w:rFonts w:asciiTheme="minorHAnsi" w:hAnsiTheme="minorHAnsi"/>
          <w:lang w:val="en-GB"/>
        </w:rPr>
      </w:pPr>
      <w:r w:rsidRPr="00D25BE7">
        <w:rPr>
          <w:rFonts w:asciiTheme="minorHAnsi" w:hAnsiTheme="minorHAnsi"/>
          <w:lang w:val="en-GB"/>
        </w:rPr>
        <w:t xml:space="preserve">Strengthening of PSD internal capacities towards becoming effective monitoring analysts is an ongoing initiative, as we strive to balance the rigour of daily activity with up-skilling and growth while managing our scarce internal resources. </w:t>
      </w:r>
    </w:p>
    <w:p w14:paraId="4C3B9549" w14:textId="77777777" w:rsidR="00DC2F69" w:rsidRPr="00D25BE7" w:rsidRDefault="00DC2F69" w:rsidP="00DC2F69">
      <w:pPr>
        <w:tabs>
          <w:tab w:val="left" w:pos="729"/>
        </w:tabs>
        <w:rPr>
          <w:rFonts w:asciiTheme="minorHAnsi" w:hAnsiTheme="minorHAnsi"/>
          <w:lang w:val="en-GB"/>
        </w:rPr>
      </w:pPr>
    </w:p>
    <w:p w14:paraId="24DAE823" w14:textId="79AA6F04" w:rsidR="00DC2F69" w:rsidRPr="00D25BE7" w:rsidRDefault="00DC2F69" w:rsidP="00DC2F69">
      <w:pPr>
        <w:tabs>
          <w:tab w:val="left" w:pos="729"/>
        </w:tabs>
        <w:rPr>
          <w:rFonts w:asciiTheme="minorHAnsi" w:hAnsiTheme="minorHAnsi"/>
          <w:lang w:val="en-GB"/>
        </w:rPr>
      </w:pPr>
      <w:r w:rsidRPr="00D25BE7">
        <w:rPr>
          <w:rFonts w:asciiTheme="minorHAnsi" w:hAnsiTheme="minorHAnsi"/>
          <w:lang w:val="en-GB"/>
        </w:rPr>
        <w:t>We take great pride in our work and in our diligence and persistence and this Report is testament to the efforts of our staff and their relationships with SOEs and other stakeholders</w:t>
      </w:r>
      <w:r w:rsidR="00A75323">
        <w:rPr>
          <w:rFonts w:asciiTheme="minorHAnsi" w:hAnsiTheme="minorHAnsi"/>
          <w:lang w:val="en-GB"/>
        </w:rPr>
        <w:t>;</w:t>
      </w:r>
      <w:r w:rsidRPr="00D25BE7">
        <w:rPr>
          <w:rFonts w:asciiTheme="minorHAnsi" w:hAnsiTheme="minorHAnsi"/>
          <w:lang w:val="en-GB"/>
        </w:rPr>
        <w:t xml:space="preserve"> and </w:t>
      </w:r>
      <w:r w:rsidR="00A75323">
        <w:rPr>
          <w:rFonts w:asciiTheme="minorHAnsi" w:hAnsiTheme="minorHAnsi"/>
          <w:lang w:val="en-GB"/>
        </w:rPr>
        <w:t xml:space="preserve">our capacity </w:t>
      </w:r>
      <w:r w:rsidRPr="00D25BE7">
        <w:rPr>
          <w:rFonts w:asciiTheme="minorHAnsi" w:hAnsiTheme="minorHAnsi"/>
          <w:lang w:val="en-GB"/>
        </w:rPr>
        <w:t>to sort and classify information accordingly. This has enabled a more comprehensive analysis than was achieved for the 2016/2017 Annual Report on the performance of State-Owned Enterprises.</w:t>
      </w:r>
    </w:p>
    <w:p w14:paraId="7D085FA7" w14:textId="77777777" w:rsidR="00DC2F69" w:rsidRPr="00D25BE7" w:rsidRDefault="00DC2F69" w:rsidP="00DC2F69">
      <w:pPr>
        <w:tabs>
          <w:tab w:val="left" w:pos="729"/>
        </w:tabs>
        <w:rPr>
          <w:rFonts w:asciiTheme="minorHAnsi" w:hAnsiTheme="minorHAnsi"/>
          <w:lang w:val="en-GB"/>
        </w:rPr>
      </w:pPr>
      <w:r w:rsidRPr="00D25BE7">
        <w:rPr>
          <w:rFonts w:asciiTheme="minorHAnsi" w:hAnsiTheme="minorHAnsi"/>
          <w:lang w:val="en-GB"/>
        </w:rPr>
        <w:t xml:space="preserve">. </w:t>
      </w:r>
    </w:p>
    <w:p w14:paraId="454A7ACF" w14:textId="77777777" w:rsidR="00DC2F69" w:rsidRPr="00D25BE7" w:rsidRDefault="00DC2F69" w:rsidP="00DC2F69">
      <w:pPr>
        <w:tabs>
          <w:tab w:val="left" w:pos="729"/>
        </w:tabs>
        <w:rPr>
          <w:rFonts w:asciiTheme="minorHAnsi" w:hAnsiTheme="minorHAnsi"/>
          <w:lang w:val="en-GB"/>
        </w:rPr>
      </w:pPr>
      <w:r w:rsidRPr="00D25BE7">
        <w:rPr>
          <w:rFonts w:asciiTheme="minorHAnsi" w:hAnsiTheme="minorHAnsi"/>
          <w:lang w:val="en-GB"/>
        </w:rPr>
        <w:t>In time, we anticipate this process will become more streamlined and we can expand our knowledge and range, to monitoring beyond mostly, the financial statements of the relevant SOEs.</w:t>
      </w:r>
    </w:p>
    <w:p w14:paraId="55563BD4" w14:textId="77777777" w:rsidR="00DC2F69" w:rsidRPr="00D25BE7" w:rsidRDefault="00DC2F69" w:rsidP="00DC2F69">
      <w:pPr>
        <w:tabs>
          <w:tab w:val="left" w:pos="729"/>
        </w:tabs>
        <w:rPr>
          <w:rFonts w:asciiTheme="minorHAnsi" w:hAnsiTheme="minorHAnsi"/>
          <w:lang w:val="en-GB"/>
        </w:rPr>
      </w:pPr>
    </w:p>
    <w:p w14:paraId="68420BAE" w14:textId="77777777" w:rsidR="00DC2F69" w:rsidRPr="00D25BE7" w:rsidRDefault="00DC2F69" w:rsidP="00DC2F69">
      <w:pPr>
        <w:tabs>
          <w:tab w:val="left" w:pos="729"/>
        </w:tabs>
        <w:rPr>
          <w:rFonts w:asciiTheme="minorHAnsi" w:hAnsiTheme="minorHAnsi"/>
          <w:lang w:val="en-GB"/>
        </w:rPr>
      </w:pPr>
      <w:r w:rsidRPr="00D25BE7">
        <w:rPr>
          <w:rFonts w:asciiTheme="minorHAnsi" w:hAnsiTheme="minorHAnsi"/>
          <w:lang w:val="en-GB"/>
        </w:rPr>
        <w:t>We appreciate the support within the ministry, and we will endeavour to add increasing value to the ministry’s efforts as we become more effective in our monitoring role.</w:t>
      </w:r>
    </w:p>
    <w:p w14:paraId="48C6FFFB" w14:textId="77777777" w:rsidR="00DC2F69" w:rsidRPr="00D25BE7" w:rsidRDefault="00DC2F69" w:rsidP="00DC2F69">
      <w:pPr>
        <w:tabs>
          <w:tab w:val="left" w:pos="729"/>
        </w:tabs>
        <w:rPr>
          <w:rFonts w:asciiTheme="minorHAnsi" w:hAnsiTheme="minorHAnsi"/>
          <w:lang w:val="en-GB"/>
        </w:rPr>
      </w:pPr>
    </w:p>
    <w:p w14:paraId="15571DFF" w14:textId="77777777" w:rsidR="00DC2F69" w:rsidRPr="00D25BE7" w:rsidRDefault="00DC2F69" w:rsidP="00DC2F69">
      <w:pPr>
        <w:tabs>
          <w:tab w:val="left" w:pos="729"/>
        </w:tabs>
        <w:rPr>
          <w:rFonts w:asciiTheme="minorHAnsi" w:hAnsiTheme="minorHAnsi"/>
          <w:lang w:val="en-GB"/>
        </w:rPr>
      </w:pPr>
      <w:r w:rsidRPr="00D25BE7">
        <w:rPr>
          <w:rFonts w:asciiTheme="minorHAnsi" w:hAnsiTheme="minorHAnsi"/>
          <w:lang w:val="en-GB"/>
        </w:rPr>
        <w:t>I would especially like to thank all staff members, advisers and supporters in our efforts to compile this important report.</w:t>
      </w:r>
    </w:p>
    <w:p w14:paraId="4A2682FF" w14:textId="77777777" w:rsidR="00DC2F69" w:rsidRPr="00D25BE7" w:rsidRDefault="00DC2F69" w:rsidP="00DC2F69">
      <w:pPr>
        <w:tabs>
          <w:tab w:val="left" w:pos="729"/>
        </w:tabs>
        <w:rPr>
          <w:rFonts w:asciiTheme="minorHAnsi" w:hAnsiTheme="minorHAnsi"/>
          <w:lang w:val="en-GB"/>
        </w:rPr>
      </w:pPr>
    </w:p>
    <w:p w14:paraId="427C55CA" w14:textId="77777777" w:rsidR="00DC2F69" w:rsidRPr="00D25BE7" w:rsidRDefault="00DC2F69" w:rsidP="00DC2F69">
      <w:pPr>
        <w:tabs>
          <w:tab w:val="left" w:pos="729"/>
        </w:tabs>
        <w:rPr>
          <w:rFonts w:asciiTheme="minorHAnsi" w:hAnsiTheme="minorHAnsi"/>
          <w:lang w:val="en-GB"/>
        </w:rPr>
      </w:pPr>
    </w:p>
    <w:p w14:paraId="36F40877" w14:textId="77777777" w:rsidR="00DC2F69" w:rsidRPr="00D25BE7" w:rsidRDefault="00DC2F69" w:rsidP="00DC2F69">
      <w:pPr>
        <w:tabs>
          <w:tab w:val="left" w:pos="729"/>
        </w:tabs>
        <w:rPr>
          <w:rFonts w:asciiTheme="minorHAnsi" w:hAnsiTheme="minorHAnsi"/>
          <w:lang w:val="en-GB"/>
        </w:rPr>
      </w:pPr>
      <w:r w:rsidRPr="00D25BE7">
        <w:rPr>
          <w:rFonts w:asciiTheme="minorHAnsi" w:hAnsiTheme="minorHAnsi"/>
          <w:lang w:val="en-GB"/>
        </w:rPr>
        <w:t>Yours sincerely</w:t>
      </w:r>
    </w:p>
    <w:p w14:paraId="4AF58E27" w14:textId="77777777" w:rsidR="00DC2F69" w:rsidRPr="00D25BE7" w:rsidRDefault="00DC2F69" w:rsidP="00DC2F69">
      <w:pPr>
        <w:tabs>
          <w:tab w:val="left" w:pos="729"/>
        </w:tabs>
        <w:rPr>
          <w:rFonts w:asciiTheme="minorHAnsi" w:hAnsiTheme="minorHAnsi"/>
          <w:lang w:val="en-GB"/>
        </w:rPr>
      </w:pPr>
    </w:p>
    <w:p w14:paraId="495B4E9A" w14:textId="77777777" w:rsidR="00DC2F69" w:rsidRPr="00D25BE7" w:rsidRDefault="00DC2F69" w:rsidP="00DC2F69">
      <w:pPr>
        <w:tabs>
          <w:tab w:val="left" w:pos="729"/>
        </w:tabs>
        <w:rPr>
          <w:rFonts w:asciiTheme="minorHAnsi" w:hAnsiTheme="minorHAnsi"/>
          <w:lang w:val="en-GB"/>
        </w:rPr>
      </w:pPr>
    </w:p>
    <w:p w14:paraId="4EE33B04" w14:textId="77777777" w:rsidR="00DC2F69" w:rsidRPr="00D25BE7" w:rsidRDefault="00DC2F69" w:rsidP="00DC2F69">
      <w:pPr>
        <w:tabs>
          <w:tab w:val="left" w:pos="729"/>
        </w:tabs>
        <w:rPr>
          <w:rFonts w:asciiTheme="minorHAnsi" w:hAnsiTheme="minorHAnsi"/>
          <w:lang w:val="en-GB"/>
        </w:rPr>
      </w:pPr>
      <w:r w:rsidRPr="00D25BE7">
        <w:rPr>
          <w:rFonts w:asciiTheme="minorHAnsi" w:hAnsiTheme="minorHAnsi"/>
          <w:lang w:val="en-GB"/>
        </w:rPr>
        <w:t xml:space="preserve">Ms. </w:t>
      </w:r>
      <w:proofErr w:type="spellStart"/>
      <w:r w:rsidRPr="00D25BE7">
        <w:rPr>
          <w:rFonts w:asciiTheme="minorHAnsi" w:hAnsiTheme="minorHAnsi"/>
          <w:lang w:val="en-GB"/>
        </w:rPr>
        <w:t>Maseeiso</w:t>
      </w:r>
      <w:proofErr w:type="spellEnd"/>
      <w:r w:rsidRPr="00D25BE7">
        <w:rPr>
          <w:rFonts w:asciiTheme="minorHAnsi" w:hAnsiTheme="minorHAnsi"/>
          <w:lang w:val="en-GB"/>
        </w:rPr>
        <w:t xml:space="preserve"> </w:t>
      </w:r>
      <w:proofErr w:type="spellStart"/>
      <w:r w:rsidRPr="00D25BE7">
        <w:rPr>
          <w:rFonts w:asciiTheme="minorHAnsi" w:hAnsiTheme="minorHAnsi"/>
          <w:lang w:val="en-GB"/>
        </w:rPr>
        <w:t>Lekholoane</w:t>
      </w:r>
      <w:proofErr w:type="spellEnd"/>
    </w:p>
    <w:p w14:paraId="7E5BF6D2" w14:textId="77777777" w:rsidR="00DC2F69" w:rsidRPr="00D25BE7" w:rsidRDefault="00DC2F69" w:rsidP="00DC2F69">
      <w:pPr>
        <w:tabs>
          <w:tab w:val="left" w:pos="729"/>
        </w:tabs>
        <w:rPr>
          <w:rFonts w:asciiTheme="minorHAnsi" w:hAnsiTheme="minorHAnsi"/>
          <w:lang w:val="en-GB"/>
        </w:rPr>
      </w:pPr>
      <w:r w:rsidRPr="00D25BE7">
        <w:rPr>
          <w:rFonts w:asciiTheme="minorHAnsi" w:hAnsiTheme="minorHAnsi"/>
          <w:lang w:val="en-GB"/>
        </w:rPr>
        <w:t>Director,</w:t>
      </w:r>
    </w:p>
    <w:p w14:paraId="2918C57C" w14:textId="1202BC81" w:rsidR="00DC2F69" w:rsidRPr="00D25BE7" w:rsidRDefault="00E06B8F" w:rsidP="00DC2F69">
      <w:pPr>
        <w:tabs>
          <w:tab w:val="left" w:pos="729"/>
        </w:tabs>
        <w:rPr>
          <w:rFonts w:asciiTheme="minorHAnsi" w:hAnsiTheme="minorHAnsi"/>
          <w:lang w:val="en-GB"/>
        </w:rPr>
      </w:pPr>
      <w:r>
        <w:rPr>
          <w:rFonts w:asciiTheme="minorHAnsi" w:hAnsiTheme="minorHAnsi"/>
          <w:lang w:val="en-GB"/>
        </w:rPr>
        <w:t>Private</w:t>
      </w:r>
      <w:r w:rsidRPr="00D25BE7">
        <w:rPr>
          <w:rFonts w:asciiTheme="minorHAnsi" w:hAnsiTheme="minorHAnsi"/>
          <w:lang w:val="en-GB"/>
        </w:rPr>
        <w:t xml:space="preserve"> </w:t>
      </w:r>
      <w:r w:rsidR="00DC2F69" w:rsidRPr="00D25BE7">
        <w:rPr>
          <w:rFonts w:asciiTheme="minorHAnsi" w:hAnsiTheme="minorHAnsi"/>
          <w:lang w:val="en-GB"/>
        </w:rPr>
        <w:t xml:space="preserve">Sector Development </w:t>
      </w:r>
      <w:r w:rsidR="00244AD7">
        <w:rPr>
          <w:rFonts w:asciiTheme="minorHAnsi" w:hAnsiTheme="minorHAnsi"/>
          <w:lang w:val="en-GB"/>
        </w:rPr>
        <w:t xml:space="preserve">and Financial Affairs </w:t>
      </w:r>
      <w:r w:rsidR="00DC2F69" w:rsidRPr="00D25BE7">
        <w:rPr>
          <w:rFonts w:asciiTheme="minorHAnsi" w:hAnsiTheme="minorHAnsi"/>
          <w:lang w:val="en-GB"/>
        </w:rPr>
        <w:t xml:space="preserve">Department </w:t>
      </w:r>
    </w:p>
    <w:p w14:paraId="0315F439" w14:textId="07AC9BD2" w:rsidR="005353D8" w:rsidRPr="00D25BE7" w:rsidRDefault="005353D8" w:rsidP="005353D8">
      <w:pPr>
        <w:tabs>
          <w:tab w:val="left" w:pos="729"/>
        </w:tabs>
        <w:rPr>
          <w:rFonts w:asciiTheme="minorHAnsi" w:hAnsiTheme="minorHAnsi"/>
          <w:lang w:val="en-GB"/>
        </w:rPr>
        <w:sectPr w:rsidR="005353D8" w:rsidRPr="00D25BE7" w:rsidSect="00461433">
          <w:headerReference w:type="default" r:id="rId10"/>
          <w:footerReference w:type="even" r:id="rId11"/>
          <w:headerReference w:type="first" r:id="rId12"/>
          <w:endnotePr>
            <w:numRestart w:val="eachSect"/>
          </w:endnotePr>
          <w:pgSz w:w="11900" w:h="16840"/>
          <w:pgMar w:top="1440" w:right="1440" w:bottom="1440" w:left="1440" w:header="720" w:footer="720" w:gutter="0"/>
          <w:pgNumType w:start="1"/>
          <w:cols w:space="720"/>
          <w:docGrid w:linePitch="360"/>
        </w:sectPr>
      </w:pPr>
    </w:p>
    <w:p w14:paraId="7C46E673" w14:textId="77777777" w:rsidR="003B1277" w:rsidRPr="00D25BE7" w:rsidRDefault="003B1277" w:rsidP="003B1277">
      <w:pPr>
        <w:jc w:val="center"/>
        <w:rPr>
          <w:rFonts w:asciiTheme="minorHAnsi" w:hAnsiTheme="minorHAnsi"/>
          <w:b/>
        </w:rPr>
      </w:pPr>
      <w:r w:rsidRPr="00D25BE7">
        <w:rPr>
          <w:rFonts w:asciiTheme="minorHAnsi" w:hAnsiTheme="minorHAnsi"/>
          <w:b/>
        </w:rPr>
        <w:lastRenderedPageBreak/>
        <w:t>ABBREVIATIONS</w:t>
      </w:r>
      <w:bookmarkEnd w:id="1"/>
    </w:p>
    <w:tbl>
      <w:tblPr>
        <w:tblStyle w:val="TableGrid"/>
        <w:tblW w:w="0" w:type="auto"/>
        <w:tblLook w:val="04A0" w:firstRow="1" w:lastRow="0" w:firstColumn="1" w:lastColumn="0" w:noHBand="0" w:noVBand="1"/>
      </w:tblPr>
      <w:tblGrid>
        <w:gridCol w:w="1514"/>
        <w:gridCol w:w="7836"/>
      </w:tblGrid>
      <w:tr w:rsidR="00E26B50" w14:paraId="67DF483A" w14:textId="77777777" w:rsidTr="004629C6">
        <w:tc>
          <w:tcPr>
            <w:tcW w:w="1526" w:type="dxa"/>
          </w:tcPr>
          <w:p w14:paraId="6D98F1BF"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AFS</w:t>
            </w:r>
          </w:p>
        </w:tc>
        <w:tc>
          <w:tcPr>
            <w:tcW w:w="8050" w:type="dxa"/>
          </w:tcPr>
          <w:p w14:paraId="1F7F0B40" w14:textId="77777777" w:rsidR="00E26B50" w:rsidRDefault="00E26B50" w:rsidP="0018304A">
            <w:pPr>
              <w:spacing w:before="40" w:after="40"/>
              <w:jc w:val="left"/>
              <w:rPr>
                <w:rFonts w:asciiTheme="minorHAnsi" w:hAnsiTheme="minorHAnsi" w:cs="Arial"/>
                <w:szCs w:val="22"/>
              </w:rPr>
            </w:pPr>
            <w:r w:rsidRPr="00D25BE7">
              <w:rPr>
                <w:rFonts w:asciiTheme="minorHAnsi" w:hAnsiTheme="minorHAnsi" w:cs="Arial"/>
                <w:szCs w:val="22"/>
              </w:rPr>
              <w:t>Audited Financial Statements</w:t>
            </w:r>
          </w:p>
        </w:tc>
      </w:tr>
      <w:tr w:rsidR="00E26B50" w14:paraId="097AB842" w14:textId="77777777" w:rsidTr="004629C6">
        <w:tc>
          <w:tcPr>
            <w:tcW w:w="1526" w:type="dxa"/>
          </w:tcPr>
          <w:p w14:paraId="7BE2B8D3" w14:textId="77777777" w:rsidR="00E26B50" w:rsidRDefault="00E26B50" w:rsidP="0018304A">
            <w:pPr>
              <w:spacing w:before="40" w:after="40"/>
              <w:rPr>
                <w:rFonts w:asciiTheme="minorHAnsi" w:hAnsiTheme="minorHAnsi" w:cs="Arial"/>
                <w:szCs w:val="22"/>
              </w:rPr>
            </w:pPr>
            <w:r>
              <w:rPr>
                <w:rFonts w:asciiTheme="minorHAnsi" w:hAnsiTheme="minorHAnsi" w:cs="Arial"/>
                <w:szCs w:val="22"/>
              </w:rPr>
              <w:t>AON</w:t>
            </w:r>
          </w:p>
        </w:tc>
        <w:tc>
          <w:tcPr>
            <w:tcW w:w="8050" w:type="dxa"/>
          </w:tcPr>
          <w:p w14:paraId="43D97C1A"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AON Lesotho</w:t>
            </w:r>
          </w:p>
        </w:tc>
      </w:tr>
      <w:tr w:rsidR="00E26B50" w14:paraId="27D7A886" w14:textId="77777777" w:rsidTr="004629C6">
        <w:tc>
          <w:tcPr>
            <w:tcW w:w="1526" w:type="dxa"/>
          </w:tcPr>
          <w:p w14:paraId="43FB620A"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BEDCO</w:t>
            </w:r>
          </w:p>
        </w:tc>
        <w:tc>
          <w:tcPr>
            <w:tcW w:w="8050" w:type="dxa"/>
          </w:tcPr>
          <w:p w14:paraId="1DECFDF7"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Basotho Enterprise Development Corporation</w:t>
            </w:r>
          </w:p>
        </w:tc>
      </w:tr>
      <w:tr w:rsidR="00E26B50" w14:paraId="08528B25" w14:textId="77777777" w:rsidTr="004629C6">
        <w:tc>
          <w:tcPr>
            <w:tcW w:w="1526" w:type="dxa"/>
          </w:tcPr>
          <w:p w14:paraId="1768F493"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CSO/SPO</w:t>
            </w:r>
          </w:p>
        </w:tc>
        <w:tc>
          <w:tcPr>
            <w:tcW w:w="8050" w:type="dxa"/>
          </w:tcPr>
          <w:p w14:paraId="307B615A"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Community Service Obligation/Social Policy Obligation</w:t>
            </w:r>
          </w:p>
        </w:tc>
      </w:tr>
      <w:tr w:rsidR="00E26B50" w14:paraId="17950E92" w14:textId="77777777" w:rsidTr="004629C6">
        <w:tc>
          <w:tcPr>
            <w:tcW w:w="1526" w:type="dxa"/>
          </w:tcPr>
          <w:p w14:paraId="61B0CEED"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Econet</w:t>
            </w:r>
          </w:p>
        </w:tc>
        <w:tc>
          <w:tcPr>
            <w:tcW w:w="8050" w:type="dxa"/>
          </w:tcPr>
          <w:p w14:paraId="56FF34AF"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Econet (Telecom) Lesotho Pty Ltd</w:t>
            </w:r>
          </w:p>
        </w:tc>
      </w:tr>
      <w:tr w:rsidR="00E26B50" w14:paraId="0CDBAF54" w14:textId="77777777" w:rsidTr="004629C6">
        <w:tc>
          <w:tcPr>
            <w:tcW w:w="1526" w:type="dxa"/>
          </w:tcPr>
          <w:p w14:paraId="4C5CA738" w14:textId="77777777" w:rsidR="00E26B50" w:rsidRDefault="00E26B50" w:rsidP="0018304A">
            <w:pPr>
              <w:spacing w:before="40" w:after="40"/>
              <w:rPr>
                <w:rFonts w:asciiTheme="minorHAnsi" w:hAnsiTheme="minorHAnsi" w:cs="Arial"/>
                <w:szCs w:val="22"/>
              </w:rPr>
            </w:pPr>
            <w:r>
              <w:rPr>
                <w:rFonts w:asciiTheme="minorHAnsi" w:hAnsiTheme="minorHAnsi" w:cs="Arial"/>
                <w:szCs w:val="22"/>
              </w:rPr>
              <w:t>FY</w:t>
            </w:r>
          </w:p>
        </w:tc>
        <w:tc>
          <w:tcPr>
            <w:tcW w:w="8050" w:type="dxa"/>
          </w:tcPr>
          <w:p w14:paraId="1987E151"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Fiscal Year (for this report fiscal year 2016/17 is to March 2017)</w:t>
            </w:r>
          </w:p>
        </w:tc>
      </w:tr>
      <w:tr w:rsidR="00E26B50" w14:paraId="14834154" w14:textId="77777777" w:rsidTr="004629C6">
        <w:tc>
          <w:tcPr>
            <w:tcW w:w="1526" w:type="dxa"/>
          </w:tcPr>
          <w:p w14:paraId="62E1E741"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GDP</w:t>
            </w:r>
          </w:p>
        </w:tc>
        <w:tc>
          <w:tcPr>
            <w:tcW w:w="8050" w:type="dxa"/>
          </w:tcPr>
          <w:p w14:paraId="0F719C3B"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Gross Domestic Product</w:t>
            </w:r>
          </w:p>
        </w:tc>
      </w:tr>
      <w:tr w:rsidR="00E26B50" w14:paraId="381DE256" w14:textId="77777777" w:rsidTr="004629C6">
        <w:tc>
          <w:tcPr>
            <w:tcW w:w="1526" w:type="dxa"/>
          </w:tcPr>
          <w:p w14:paraId="0A6DE858"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GoL</w:t>
            </w:r>
          </w:p>
        </w:tc>
        <w:tc>
          <w:tcPr>
            <w:tcW w:w="8050" w:type="dxa"/>
          </w:tcPr>
          <w:p w14:paraId="35772D9E"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Government of Lesotho</w:t>
            </w:r>
          </w:p>
        </w:tc>
      </w:tr>
      <w:tr w:rsidR="00E26B50" w14:paraId="50920A8B" w14:textId="77777777" w:rsidTr="004629C6">
        <w:tc>
          <w:tcPr>
            <w:tcW w:w="1526" w:type="dxa"/>
          </w:tcPr>
          <w:p w14:paraId="6D80D235"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IAS</w:t>
            </w:r>
          </w:p>
        </w:tc>
        <w:tc>
          <w:tcPr>
            <w:tcW w:w="8050" w:type="dxa"/>
          </w:tcPr>
          <w:p w14:paraId="020D3AB6"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International Accounting Standards</w:t>
            </w:r>
          </w:p>
        </w:tc>
      </w:tr>
      <w:tr w:rsidR="00E26B50" w14:paraId="05A44B08" w14:textId="77777777" w:rsidTr="004629C6">
        <w:tc>
          <w:tcPr>
            <w:tcW w:w="1526" w:type="dxa"/>
          </w:tcPr>
          <w:p w14:paraId="0DAB59B5"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IFRS</w:t>
            </w:r>
          </w:p>
        </w:tc>
        <w:tc>
          <w:tcPr>
            <w:tcW w:w="8050" w:type="dxa"/>
          </w:tcPr>
          <w:p w14:paraId="019D2BC1"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International Financial Reporting Standards</w:t>
            </w:r>
          </w:p>
        </w:tc>
      </w:tr>
      <w:tr w:rsidR="00E26B50" w14:paraId="12F27C5F" w14:textId="77777777" w:rsidTr="004629C6">
        <w:tc>
          <w:tcPr>
            <w:tcW w:w="1526" w:type="dxa"/>
          </w:tcPr>
          <w:p w14:paraId="0ADF2310"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Kao</w:t>
            </w:r>
          </w:p>
        </w:tc>
        <w:tc>
          <w:tcPr>
            <w:tcW w:w="8050" w:type="dxa"/>
          </w:tcPr>
          <w:p w14:paraId="2D50E1C8"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Storm Mountain Diamond Mines Pty Ltd</w:t>
            </w:r>
          </w:p>
        </w:tc>
      </w:tr>
      <w:tr w:rsidR="00E26B50" w14:paraId="206CE3E0" w14:textId="77777777" w:rsidTr="004629C6">
        <w:tc>
          <w:tcPr>
            <w:tcW w:w="1526" w:type="dxa"/>
          </w:tcPr>
          <w:p w14:paraId="7B9A15D6"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KPI</w:t>
            </w:r>
          </w:p>
        </w:tc>
        <w:tc>
          <w:tcPr>
            <w:tcW w:w="8050" w:type="dxa"/>
          </w:tcPr>
          <w:p w14:paraId="61449DF6"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Key Performance Indicator</w:t>
            </w:r>
          </w:p>
        </w:tc>
      </w:tr>
      <w:tr w:rsidR="00E26B50" w14:paraId="780A8526" w14:textId="77777777" w:rsidTr="004629C6">
        <w:tc>
          <w:tcPr>
            <w:tcW w:w="1526" w:type="dxa"/>
          </w:tcPr>
          <w:p w14:paraId="0C6EC55F"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LEC</w:t>
            </w:r>
          </w:p>
        </w:tc>
        <w:tc>
          <w:tcPr>
            <w:tcW w:w="8050" w:type="dxa"/>
          </w:tcPr>
          <w:p w14:paraId="10967B72"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Lesotho Electricity Company Pty Ltd</w:t>
            </w:r>
          </w:p>
        </w:tc>
      </w:tr>
      <w:tr w:rsidR="00E26B50" w14:paraId="24BE06D1" w14:textId="77777777" w:rsidTr="004629C6">
        <w:tc>
          <w:tcPr>
            <w:tcW w:w="1526" w:type="dxa"/>
          </w:tcPr>
          <w:p w14:paraId="46A3009C" w14:textId="77777777" w:rsidR="00E26B50" w:rsidRDefault="00E26B50" w:rsidP="0018304A">
            <w:pPr>
              <w:spacing w:before="40" w:after="40"/>
              <w:rPr>
                <w:rFonts w:asciiTheme="minorHAnsi" w:hAnsiTheme="minorHAnsi" w:cs="Arial"/>
                <w:szCs w:val="22"/>
              </w:rPr>
            </w:pPr>
            <w:proofErr w:type="spellStart"/>
            <w:r w:rsidRPr="00D25BE7">
              <w:rPr>
                <w:rFonts w:asciiTheme="minorHAnsi" w:hAnsiTheme="minorHAnsi" w:cs="Arial"/>
                <w:szCs w:val="22"/>
              </w:rPr>
              <w:t>Letseng</w:t>
            </w:r>
            <w:proofErr w:type="spellEnd"/>
            <w:r w:rsidRPr="00D25BE7">
              <w:rPr>
                <w:rFonts w:asciiTheme="minorHAnsi" w:hAnsiTheme="minorHAnsi" w:cs="Arial"/>
                <w:szCs w:val="22"/>
              </w:rPr>
              <w:tab/>
            </w:r>
          </w:p>
        </w:tc>
        <w:tc>
          <w:tcPr>
            <w:tcW w:w="8050" w:type="dxa"/>
          </w:tcPr>
          <w:p w14:paraId="765B399C" w14:textId="77777777" w:rsidR="00E26B50" w:rsidRDefault="00E26B50" w:rsidP="0018304A">
            <w:pPr>
              <w:spacing w:before="40" w:after="40"/>
              <w:rPr>
                <w:rFonts w:asciiTheme="minorHAnsi" w:hAnsiTheme="minorHAnsi" w:cs="Arial"/>
                <w:szCs w:val="22"/>
              </w:rPr>
            </w:pPr>
            <w:proofErr w:type="spellStart"/>
            <w:r w:rsidRPr="00D25BE7">
              <w:rPr>
                <w:rFonts w:asciiTheme="minorHAnsi" w:hAnsiTheme="minorHAnsi" w:cs="Arial"/>
                <w:szCs w:val="22"/>
              </w:rPr>
              <w:t>Letseng</w:t>
            </w:r>
            <w:proofErr w:type="spellEnd"/>
            <w:r w:rsidRPr="00D25BE7">
              <w:rPr>
                <w:rFonts w:asciiTheme="minorHAnsi" w:hAnsiTheme="minorHAnsi" w:cs="Arial"/>
                <w:szCs w:val="22"/>
              </w:rPr>
              <w:t xml:space="preserve"> Diamonds Pty Ltd</w:t>
            </w:r>
          </w:p>
        </w:tc>
      </w:tr>
      <w:tr w:rsidR="00E26B50" w14:paraId="5C3C8400" w14:textId="77777777" w:rsidTr="004629C6">
        <w:tc>
          <w:tcPr>
            <w:tcW w:w="1526" w:type="dxa"/>
          </w:tcPr>
          <w:p w14:paraId="29183E31" w14:textId="77777777" w:rsidR="00E26B50" w:rsidRDefault="00E26B50" w:rsidP="0018304A">
            <w:pPr>
              <w:spacing w:before="40" w:after="40"/>
              <w:rPr>
                <w:rFonts w:asciiTheme="minorHAnsi" w:hAnsiTheme="minorHAnsi" w:cs="Arial"/>
                <w:szCs w:val="22"/>
              </w:rPr>
            </w:pPr>
            <w:r>
              <w:rPr>
                <w:rFonts w:asciiTheme="minorHAnsi" w:hAnsiTheme="minorHAnsi" w:cs="Arial"/>
                <w:szCs w:val="22"/>
              </w:rPr>
              <w:t>LFM</w:t>
            </w:r>
          </w:p>
        </w:tc>
        <w:tc>
          <w:tcPr>
            <w:tcW w:w="8050" w:type="dxa"/>
          </w:tcPr>
          <w:p w14:paraId="2216B578"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Lesotho Flour Mills Ltd</w:t>
            </w:r>
          </w:p>
        </w:tc>
      </w:tr>
      <w:tr w:rsidR="00E26B50" w14:paraId="7F0AD1E2" w14:textId="77777777" w:rsidTr="004629C6">
        <w:tc>
          <w:tcPr>
            <w:tcW w:w="1526" w:type="dxa"/>
          </w:tcPr>
          <w:p w14:paraId="18A0D1D0"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LHLDC</w:t>
            </w:r>
          </w:p>
        </w:tc>
        <w:tc>
          <w:tcPr>
            <w:tcW w:w="8050" w:type="dxa"/>
          </w:tcPr>
          <w:p w14:paraId="6C9DDBEC"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Lesotho Housing and Land Development Corporation</w:t>
            </w:r>
          </w:p>
        </w:tc>
      </w:tr>
      <w:tr w:rsidR="00E26B50" w14:paraId="1A41F6BE" w14:textId="77777777" w:rsidTr="004629C6">
        <w:tc>
          <w:tcPr>
            <w:tcW w:w="1526" w:type="dxa"/>
          </w:tcPr>
          <w:p w14:paraId="5D22D3B2" w14:textId="0E06504C" w:rsidR="00E26B50" w:rsidRDefault="00E26B50" w:rsidP="0018304A">
            <w:pPr>
              <w:spacing w:before="40" w:after="40"/>
              <w:rPr>
                <w:rFonts w:asciiTheme="minorHAnsi" w:hAnsiTheme="minorHAnsi" w:cs="Arial"/>
                <w:szCs w:val="22"/>
              </w:rPr>
            </w:pPr>
            <w:proofErr w:type="spellStart"/>
            <w:r w:rsidRPr="00D25BE7">
              <w:rPr>
                <w:rFonts w:asciiTheme="minorHAnsi" w:hAnsiTheme="minorHAnsi" w:cs="Arial"/>
                <w:szCs w:val="22"/>
              </w:rPr>
              <w:t>Li</w:t>
            </w:r>
            <w:r w:rsidR="004012A6">
              <w:rPr>
                <w:rFonts w:asciiTheme="minorHAnsi" w:hAnsiTheme="minorHAnsi" w:cs="Arial"/>
                <w:szCs w:val="22"/>
              </w:rPr>
              <w:t>q</w:t>
            </w:r>
            <w:r w:rsidRPr="00D25BE7">
              <w:rPr>
                <w:rFonts w:asciiTheme="minorHAnsi" w:hAnsiTheme="minorHAnsi" w:cs="Arial"/>
                <w:szCs w:val="22"/>
              </w:rPr>
              <w:t>hobong</w:t>
            </w:r>
            <w:proofErr w:type="spellEnd"/>
          </w:p>
        </w:tc>
        <w:tc>
          <w:tcPr>
            <w:tcW w:w="8050" w:type="dxa"/>
          </w:tcPr>
          <w:p w14:paraId="1C20329A" w14:textId="23432643" w:rsidR="00E26B50" w:rsidRDefault="00E26B50" w:rsidP="0018304A">
            <w:pPr>
              <w:spacing w:before="40" w:after="40"/>
              <w:rPr>
                <w:rFonts w:asciiTheme="minorHAnsi" w:hAnsiTheme="minorHAnsi" w:cs="Arial"/>
                <w:szCs w:val="22"/>
              </w:rPr>
            </w:pPr>
            <w:proofErr w:type="spellStart"/>
            <w:r w:rsidRPr="00D25BE7">
              <w:rPr>
                <w:rFonts w:asciiTheme="minorHAnsi" w:hAnsiTheme="minorHAnsi" w:cs="Arial"/>
                <w:szCs w:val="22"/>
              </w:rPr>
              <w:t>Li</w:t>
            </w:r>
            <w:r w:rsidR="004012A6">
              <w:rPr>
                <w:rFonts w:asciiTheme="minorHAnsi" w:hAnsiTheme="minorHAnsi" w:cs="Arial"/>
                <w:szCs w:val="22"/>
              </w:rPr>
              <w:t>q</w:t>
            </w:r>
            <w:r w:rsidRPr="00D25BE7">
              <w:rPr>
                <w:rFonts w:asciiTheme="minorHAnsi" w:hAnsiTheme="minorHAnsi" w:cs="Arial"/>
                <w:szCs w:val="22"/>
              </w:rPr>
              <w:t>hobong</w:t>
            </w:r>
            <w:proofErr w:type="spellEnd"/>
            <w:r w:rsidRPr="00D25BE7">
              <w:rPr>
                <w:rFonts w:asciiTheme="minorHAnsi" w:hAnsiTheme="minorHAnsi" w:cs="Arial"/>
                <w:szCs w:val="22"/>
              </w:rPr>
              <w:t xml:space="preserve"> Mining Development Company Pty Ltd</w:t>
            </w:r>
          </w:p>
        </w:tc>
      </w:tr>
      <w:tr w:rsidR="00E26B50" w14:paraId="5441911B" w14:textId="77777777" w:rsidTr="004629C6">
        <w:tc>
          <w:tcPr>
            <w:tcW w:w="1526" w:type="dxa"/>
          </w:tcPr>
          <w:p w14:paraId="6FA3A4B9"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LNDC</w:t>
            </w:r>
          </w:p>
        </w:tc>
        <w:tc>
          <w:tcPr>
            <w:tcW w:w="8050" w:type="dxa"/>
          </w:tcPr>
          <w:p w14:paraId="73F334E8"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Lesotho National Development Corporation</w:t>
            </w:r>
          </w:p>
        </w:tc>
      </w:tr>
      <w:tr w:rsidR="00E26B50" w14:paraId="5E8F10CC" w14:textId="77777777" w:rsidTr="004629C6">
        <w:tc>
          <w:tcPr>
            <w:tcW w:w="1526" w:type="dxa"/>
          </w:tcPr>
          <w:p w14:paraId="72689724"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Loti</w:t>
            </w:r>
          </w:p>
        </w:tc>
        <w:tc>
          <w:tcPr>
            <w:tcW w:w="8050" w:type="dxa"/>
          </w:tcPr>
          <w:p w14:paraId="317B3438"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Loti Brick Pty Ltd</w:t>
            </w:r>
          </w:p>
        </w:tc>
      </w:tr>
      <w:tr w:rsidR="00E26B50" w14:paraId="6541EF79" w14:textId="77777777" w:rsidTr="004629C6">
        <w:tc>
          <w:tcPr>
            <w:tcW w:w="1526" w:type="dxa"/>
          </w:tcPr>
          <w:p w14:paraId="318454C0"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LPB</w:t>
            </w:r>
          </w:p>
        </w:tc>
        <w:tc>
          <w:tcPr>
            <w:tcW w:w="8050" w:type="dxa"/>
          </w:tcPr>
          <w:p w14:paraId="3CB42025"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 xml:space="preserve">Lesotho </w:t>
            </w:r>
            <w:proofErr w:type="spellStart"/>
            <w:r w:rsidRPr="00D25BE7">
              <w:rPr>
                <w:rFonts w:asciiTheme="minorHAnsi" w:hAnsiTheme="minorHAnsi" w:cs="Arial"/>
                <w:szCs w:val="22"/>
              </w:rPr>
              <w:t>PostBank</w:t>
            </w:r>
            <w:proofErr w:type="spellEnd"/>
            <w:r w:rsidRPr="00D25BE7">
              <w:rPr>
                <w:rFonts w:asciiTheme="minorHAnsi" w:hAnsiTheme="minorHAnsi" w:cs="Arial"/>
                <w:szCs w:val="22"/>
              </w:rPr>
              <w:t xml:space="preserve"> Ltd</w:t>
            </w:r>
          </w:p>
        </w:tc>
      </w:tr>
      <w:tr w:rsidR="00E26B50" w14:paraId="5F306B00" w14:textId="77777777" w:rsidTr="004629C6">
        <w:tc>
          <w:tcPr>
            <w:tcW w:w="1526" w:type="dxa"/>
          </w:tcPr>
          <w:p w14:paraId="2D8CF277" w14:textId="77777777" w:rsidR="00E26B50" w:rsidRDefault="00E26B50" w:rsidP="0018304A">
            <w:pPr>
              <w:spacing w:before="40" w:after="40"/>
              <w:rPr>
                <w:rFonts w:asciiTheme="minorHAnsi" w:hAnsiTheme="minorHAnsi" w:cs="Arial"/>
                <w:szCs w:val="22"/>
              </w:rPr>
            </w:pPr>
            <w:r>
              <w:rPr>
                <w:rFonts w:asciiTheme="minorHAnsi" w:hAnsiTheme="minorHAnsi" w:cs="Arial"/>
                <w:szCs w:val="22"/>
              </w:rPr>
              <w:t>LRA</w:t>
            </w:r>
          </w:p>
        </w:tc>
        <w:tc>
          <w:tcPr>
            <w:tcW w:w="8050" w:type="dxa"/>
          </w:tcPr>
          <w:p w14:paraId="133E7C3A"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Lesotho Revenue Authority</w:t>
            </w:r>
          </w:p>
        </w:tc>
      </w:tr>
      <w:tr w:rsidR="00E26B50" w14:paraId="69619F54" w14:textId="77777777" w:rsidTr="004629C6">
        <w:tc>
          <w:tcPr>
            <w:tcW w:w="1526" w:type="dxa"/>
          </w:tcPr>
          <w:p w14:paraId="5F85C61A"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LTDC</w:t>
            </w:r>
          </w:p>
        </w:tc>
        <w:tc>
          <w:tcPr>
            <w:tcW w:w="8050" w:type="dxa"/>
          </w:tcPr>
          <w:p w14:paraId="2A0DAAE3"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Lesotho Tourism Development Corporation</w:t>
            </w:r>
          </w:p>
        </w:tc>
      </w:tr>
      <w:tr w:rsidR="00E26B50" w14:paraId="47BC3A7D" w14:textId="77777777" w:rsidTr="004629C6">
        <w:tc>
          <w:tcPr>
            <w:tcW w:w="1526" w:type="dxa"/>
          </w:tcPr>
          <w:p w14:paraId="612A43B0"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MHG (</w:t>
            </w:r>
            <w:proofErr w:type="spellStart"/>
            <w:r w:rsidRPr="00D25BE7">
              <w:rPr>
                <w:rFonts w:asciiTheme="minorHAnsi" w:hAnsiTheme="minorHAnsi" w:cs="Arial"/>
                <w:szCs w:val="22"/>
              </w:rPr>
              <w:t>Avani</w:t>
            </w:r>
            <w:proofErr w:type="spellEnd"/>
            <w:r w:rsidRPr="00D25BE7">
              <w:rPr>
                <w:rFonts w:asciiTheme="minorHAnsi" w:hAnsiTheme="minorHAnsi" w:cs="Arial"/>
                <w:szCs w:val="22"/>
              </w:rPr>
              <w:t>)</w:t>
            </w:r>
          </w:p>
        </w:tc>
        <w:tc>
          <w:tcPr>
            <w:tcW w:w="8050" w:type="dxa"/>
          </w:tcPr>
          <w:p w14:paraId="2D739F8A"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MHG (Lesotho) Pty Limited</w:t>
            </w:r>
          </w:p>
        </w:tc>
      </w:tr>
      <w:tr w:rsidR="00E26B50" w14:paraId="79134DDA" w14:textId="77777777" w:rsidTr="004629C6">
        <w:tc>
          <w:tcPr>
            <w:tcW w:w="1526" w:type="dxa"/>
          </w:tcPr>
          <w:p w14:paraId="1B1CA095" w14:textId="77777777" w:rsidR="00E26B50" w:rsidRDefault="00E26B50" w:rsidP="0018304A">
            <w:pPr>
              <w:spacing w:before="40" w:after="40"/>
              <w:rPr>
                <w:rFonts w:asciiTheme="minorHAnsi" w:hAnsiTheme="minorHAnsi" w:cs="Arial"/>
                <w:szCs w:val="22"/>
              </w:rPr>
            </w:pPr>
            <w:r>
              <w:rPr>
                <w:rFonts w:asciiTheme="minorHAnsi" w:hAnsiTheme="minorHAnsi" w:cs="Arial"/>
                <w:szCs w:val="22"/>
              </w:rPr>
              <w:t>MMB</w:t>
            </w:r>
          </w:p>
        </w:tc>
        <w:tc>
          <w:tcPr>
            <w:tcW w:w="8050" w:type="dxa"/>
          </w:tcPr>
          <w:p w14:paraId="34493F6F" w14:textId="77777777" w:rsidR="00E26B50" w:rsidRDefault="00E26B50" w:rsidP="0018304A">
            <w:pPr>
              <w:spacing w:before="40" w:after="40"/>
              <w:rPr>
                <w:rFonts w:asciiTheme="minorHAnsi" w:hAnsiTheme="minorHAnsi" w:cs="Arial"/>
                <w:szCs w:val="22"/>
              </w:rPr>
            </w:pPr>
            <w:proofErr w:type="spellStart"/>
            <w:r w:rsidRPr="00D25BE7">
              <w:rPr>
                <w:rFonts w:asciiTheme="minorHAnsi" w:hAnsiTheme="minorHAnsi" w:cs="Arial"/>
                <w:szCs w:val="22"/>
              </w:rPr>
              <w:t>Maluti</w:t>
            </w:r>
            <w:proofErr w:type="spellEnd"/>
            <w:r w:rsidRPr="00D25BE7">
              <w:rPr>
                <w:rFonts w:asciiTheme="minorHAnsi" w:hAnsiTheme="minorHAnsi" w:cs="Arial"/>
                <w:szCs w:val="22"/>
              </w:rPr>
              <w:t xml:space="preserve"> Mountain Brewery (Pty) Ltd</w:t>
            </w:r>
          </w:p>
        </w:tc>
      </w:tr>
      <w:tr w:rsidR="00E26B50" w14:paraId="43AB6887" w14:textId="77777777" w:rsidTr="004629C6">
        <w:tc>
          <w:tcPr>
            <w:tcW w:w="1526" w:type="dxa"/>
          </w:tcPr>
          <w:p w14:paraId="749E9DCD" w14:textId="77777777" w:rsidR="00E26B50" w:rsidRDefault="00E26B50" w:rsidP="0018304A">
            <w:pPr>
              <w:spacing w:before="40" w:after="40"/>
              <w:rPr>
                <w:rFonts w:asciiTheme="minorHAnsi" w:hAnsiTheme="minorHAnsi" w:cs="Arial"/>
                <w:szCs w:val="22"/>
              </w:rPr>
            </w:pPr>
            <w:proofErr w:type="spellStart"/>
            <w:r>
              <w:rPr>
                <w:rFonts w:asciiTheme="minorHAnsi" w:hAnsiTheme="minorHAnsi" w:cs="Arial"/>
                <w:szCs w:val="22"/>
              </w:rPr>
              <w:t>MoF</w:t>
            </w:r>
            <w:proofErr w:type="spellEnd"/>
          </w:p>
        </w:tc>
        <w:tc>
          <w:tcPr>
            <w:tcW w:w="8050" w:type="dxa"/>
          </w:tcPr>
          <w:p w14:paraId="0418BA30"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Ministry of Finance</w:t>
            </w:r>
          </w:p>
        </w:tc>
      </w:tr>
      <w:tr w:rsidR="00E26B50" w14:paraId="1F0F373E" w14:textId="77777777" w:rsidTr="004629C6">
        <w:tc>
          <w:tcPr>
            <w:tcW w:w="1526" w:type="dxa"/>
          </w:tcPr>
          <w:p w14:paraId="21D5D983"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Nat Gen Ins</w:t>
            </w:r>
          </w:p>
        </w:tc>
        <w:tc>
          <w:tcPr>
            <w:tcW w:w="8050" w:type="dxa"/>
          </w:tcPr>
          <w:p w14:paraId="24064198"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Lesotho National General Insurance Co Ltd</w:t>
            </w:r>
          </w:p>
        </w:tc>
      </w:tr>
      <w:tr w:rsidR="00E26B50" w14:paraId="0831A772" w14:textId="77777777" w:rsidTr="004629C6">
        <w:tc>
          <w:tcPr>
            <w:tcW w:w="1526" w:type="dxa"/>
          </w:tcPr>
          <w:p w14:paraId="25C702E4"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Nat Life Ass</w:t>
            </w:r>
          </w:p>
        </w:tc>
        <w:tc>
          <w:tcPr>
            <w:tcW w:w="8050" w:type="dxa"/>
          </w:tcPr>
          <w:p w14:paraId="5EC6B599"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Lesotho National Life Assurance Co Ltd</w:t>
            </w:r>
          </w:p>
        </w:tc>
      </w:tr>
      <w:tr w:rsidR="00E26B50" w14:paraId="0826F9BC" w14:textId="77777777" w:rsidTr="004629C6">
        <w:tc>
          <w:tcPr>
            <w:tcW w:w="1526" w:type="dxa"/>
          </w:tcPr>
          <w:p w14:paraId="73F1735D" w14:textId="77777777" w:rsidR="00E26B50" w:rsidRDefault="00E26B50" w:rsidP="0018304A">
            <w:pPr>
              <w:spacing w:before="40" w:after="40"/>
              <w:rPr>
                <w:rFonts w:asciiTheme="minorHAnsi" w:hAnsiTheme="minorHAnsi" w:cs="Arial"/>
                <w:szCs w:val="22"/>
              </w:rPr>
            </w:pPr>
            <w:r>
              <w:rPr>
                <w:rFonts w:asciiTheme="minorHAnsi" w:hAnsiTheme="minorHAnsi" w:cs="Arial"/>
                <w:szCs w:val="22"/>
              </w:rPr>
              <w:t>OAG</w:t>
            </w:r>
          </w:p>
        </w:tc>
        <w:tc>
          <w:tcPr>
            <w:tcW w:w="8050" w:type="dxa"/>
          </w:tcPr>
          <w:p w14:paraId="10E3A469"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Office of Auditor General</w:t>
            </w:r>
          </w:p>
        </w:tc>
      </w:tr>
      <w:tr w:rsidR="00E26B50" w14:paraId="36782AF1" w14:textId="77777777" w:rsidTr="004629C6">
        <w:tc>
          <w:tcPr>
            <w:tcW w:w="1526" w:type="dxa"/>
          </w:tcPr>
          <w:p w14:paraId="5A474D81"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Ok Baz</w:t>
            </w:r>
            <w:r>
              <w:rPr>
                <w:rFonts w:asciiTheme="minorHAnsi" w:hAnsiTheme="minorHAnsi" w:cs="Arial"/>
                <w:szCs w:val="22"/>
              </w:rPr>
              <w:t>aars</w:t>
            </w:r>
          </w:p>
        </w:tc>
        <w:tc>
          <w:tcPr>
            <w:tcW w:w="8050" w:type="dxa"/>
          </w:tcPr>
          <w:p w14:paraId="7C752E25"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Ok Bazaars (Lesotho) Ltd</w:t>
            </w:r>
          </w:p>
        </w:tc>
      </w:tr>
      <w:tr w:rsidR="00E26B50" w14:paraId="497B7E62" w14:textId="77777777" w:rsidTr="004629C6">
        <w:tc>
          <w:tcPr>
            <w:tcW w:w="1526" w:type="dxa"/>
          </w:tcPr>
          <w:p w14:paraId="3B142FCD"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PFM</w:t>
            </w:r>
          </w:p>
        </w:tc>
        <w:tc>
          <w:tcPr>
            <w:tcW w:w="8050" w:type="dxa"/>
          </w:tcPr>
          <w:p w14:paraId="107A938F"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Public Financial Management</w:t>
            </w:r>
          </w:p>
        </w:tc>
      </w:tr>
      <w:tr w:rsidR="00E26B50" w14:paraId="1C111290" w14:textId="77777777" w:rsidTr="004629C6">
        <w:tc>
          <w:tcPr>
            <w:tcW w:w="1526" w:type="dxa"/>
          </w:tcPr>
          <w:p w14:paraId="21AC609A"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PFMAA</w:t>
            </w:r>
          </w:p>
        </w:tc>
        <w:tc>
          <w:tcPr>
            <w:tcW w:w="8050" w:type="dxa"/>
          </w:tcPr>
          <w:p w14:paraId="6D02B61B"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Public Financial Management and Accountability Act</w:t>
            </w:r>
          </w:p>
        </w:tc>
      </w:tr>
      <w:tr w:rsidR="00E26B50" w14:paraId="640D29F9" w14:textId="77777777" w:rsidTr="004629C6">
        <w:tc>
          <w:tcPr>
            <w:tcW w:w="1526" w:type="dxa"/>
          </w:tcPr>
          <w:p w14:paraId="5601CF64"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PSD</w:t>
            </w:r>
          </w:p>
        </w:tc>
        <w:tc>
          <w:tcPr>
            <w:tcW w:w="8050" w:type="dxa"/>
          </w:tcPr>
          <w:p w14:paraId="1E7E0832"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Private Sector Development D</w:t>
            </w:r>
            <w:r>
              <w:rPr>
                <w:rFonts w:asciiTheme="minorHAnsi" w:hAnsiTheme="minorHAnsi" w:cs="Arial"/>
                <w:szCs w:val="22"/>
              </w:rPr>
              <w:t>epartment</w:t>
            </w:r>
          </w:p>
        </w:tc>
      </w:tr>
      <w:tr w:rsidR="00E26B50" w14:paraId="279F2802" w14:textId="77777777" w:rsidTr="004629C6">
        <w:tc>
          <w:tcPr>
            <w:tcW w:w="1526" w:type="dxa"/>
          </w:tcPr>
          <w:p w14:paraId="68101E0E" w14:textId="77777777" w:rsidR="00E26B50" w:rsidRDefault="00E26B50" w:rsidP="0018304A">
            <w:pPr>
              <w:spacing w:before="40" w:after="40"/>
              <w:rPr>
                <w:rFonts w:asciiTheme="minorHAnsi" w:hAnsiTheme="minorHAnsi" w:cs="Arial"/>
                <w:szCs w:val="22"/>
              </w:rPr>
            </w:pPr>
            <w:r>
              <w:rPr>
                <w:rFonts w:asciiTheme="minorHAnsi" w:hAnsiTheme="minorHAnsi" w:cs="Arial"/>
                <w:szCs w:val="22"/>
              </w:rPr>
              <w:t>SLB</w:t>
            </w:r>
          </w:p>
        </w:tc>
        <w:tc>
          <w:tcPr>
            <w:tcW w:w="8050" w:type="dxa"/>
          </w:tcPr>
          <w:p w14:paraId="4D5DEECE"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Standard Lesotho Bank</w:t>
            </w:r>
          </w:p>
        </w:tc>
      </w:tr>
      <w:tr w:rsidR="00E26B50" w14:paraId="67CF6AEE" w14:textId="77777777" w:rsidTr="004629C6">
        <w:tc>
          <w:tcPr>
            <w:tcW w:w="1526" w:type="dxa"/>
          </w:tcPr>
          <w:p w14:paraId="1FCEA008" w14:textId="77777777" w:rsidR="00E26B50" w:rsidRPr="003D0508" w:rsidRDefault="00E26B50" w:rsidP="0018304A">
            <w:pPr>
              <w:spacing w:before="40" w:after="40"/>
              <w:rPr>
                <w:rFonts w:asciiTheme="minorHAnsi" w:hAnsiTheme="minorHAnsi" w:cs="Arial"/>
                <w:szCs w:val="22"/>
              </w:rPr>
            </w:pPr>
            <w:r w:rsidRPr="003D0508">
              <w:rPr>
                <w:rFonts w:asciiTheme="minorHAnsi" w:hAnsiTheme="minorHAnsi" w:cs="Arial"/>
                <w:szCs w:val="22"/>
              </w:rPr>
              <w:t>SOE</w:t>
            </w:r>
          </w:p>
        </w:tc>
        <w:tc>
          <w:tcPr>
            <w:tcW w:w="8050" w:type="dxa"/>
          </w:tcPr>
          <w:p w14:paraId="54DE1B70" w14:textId="77777777" w:rsidR="00E26B50" w:rsidRPr="003D0508" w:rsidRDefault="00E26B50" w:rsidP="0018304A">
            <w:pPr>
              <w:spacing w:before="40" w:after="40"/>
              <w:rPr>
                <w:rFonts w:asciiTheme="minorHAnsi" w:hAnsiTheme="minorHAnsi" w:cs="Arial"/>
                <w:szCs w:val="22"/>
              </w:rPr>
            </w:pPr>
            <w:r w:rsidRPr="00461433">
              <w:rPr>
                <w:rFonts w:asciiTheme="minorHAnsi" w:hAnsiTheme="minorHAnsi" w:cs="Arial"/>
                <w:szCs w:val="22"/>
              </w:rPr>
              <w:t>State-Owned Enterprise(s)</w:t>
            </w:r>
          </w:p>
        </w:tc>
      </w:tr>
      <w:tr w:rsidR="00E26B50" w14:paraId="31F55965" w14:textId="77777777" w:rsidTr="004629C6">
        <w:tc>
          <w:tcPr>
            <w:tcW w:w="1526" w:type="dxa"/>
          </w:tcPr>
          <w:p w14:paraId="1B462519"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WASCO</w:t>
            </w:r>
          </w:p>
        </w:tc>
        <w:tc>
          <w:tcPr>
            <w:tcW w:w="8050" w:type="dxa"/>
          </w:tcPr>
          <w:p w14:paraId="6D09F47D" w14:textId="19975718"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 xml:space="preserve">Water and Sewerage </w:t>
            </w:r>
            <w:r w:rsidR="004012A6">
              <w:rPr>
                <w:rFonts w:asciiTheme="minorHAnsi" w:hAnsiTheme="minorHAnsi" w:cs="Arial"/>
                <w:szCs w:val="22"/>
              </w:rPr>
              <w:t xml:space="preserve">Company </w:t>
            </w:r>
            <w:r w:rsidRPr="00D25BE7">
              <w:rPr>
                <w:rFonts w:asciiTheme="minorHAnsi" w:hAnsiTheme="minorHAnsi" w:cs="Arial"/>
                <w:szCs w:val="22"/>
              </w:rPr>
              <w:t>Pty Ltd</w:t>
            </w:r>
          </w:p>
        </w:tc>
      </w:tr>
      <w:tr w:rsidR="00E26B50" w14:paraId="1B53C0D7" w14:textId="77777777" w:rsidTr="004629C6">
        <w:tc>
          <w:tcPr>
            <w:tcW w:w="1526" w:type="dxa"/>
          </w:tcPr>
          <w:p w14:paraId="2C734671" w14:textId="77777777" w:rsidR="00E26B50" w:rsidRDefault="00E26B50" w:rsidP="0018304A">
            <w:pPr>
              <w:spacing w:before="40" w:after="40"/>
              <w:rPr>
                <w:rFonts w:asciiTheme="minorHAnsi" w:hAnsiTheme="minorHAnsi" w:cs="Arial"/>
                <w:szCs w:val="22"/>
              </w:rPr>
            </w:pPr>
            <w:r>
              <w:rPr>
                <w:rFonts w:asciiTheme="minorHAnsi" w:hAnsiTheme="minorHAnsi" w:cs="Arial"/>
                <w:szCs w:val="22"/>
              </w:rPr>
              <w:t>WB</w:t>
            </w:r>
          </w:p>
        </w:tc>
        <w:tc>
          <w:tcPr>
            <w:tcW w:w="8050" w:type="dxa"/>
          </w:tcPr>
          <w:p w14:paraId="5D623338" w14:textId="77777777" w:rsidR="00E26B50" w:rsidRDefault="00E26B50" w:rsidP="0018304A">
            <w:pPr>
              <w:spacing w:before="40" w:after="40"/>
              <w:rPr>
                <w:rFonts w:asciiTheme="minorHAnsi" w:hAnsiTheme="minorHAnsi" w:cs="Arial"/>
                <w:szCs w:val="22"/>
              </w:rPr>
            </w:pPr>
            <w:r w:rsidRPr="00D25BE7">
              <w:rPr>
                <w:rFonts w:asciiTheme="minorHAnsi" w:hAnsiTheme="minorHAnsi" w:cs="Arial"/>
                <w:szCs w:val="22"/>
              </w:rPr>
              <w:t>World Bank</w:t>
            </w:r>
          </w:p>
        </w:tc>
      </w:tr>
    </w:tbl>
    <w:p w14:paraId="15E2725D" w14:textId="71A9D113" w:rsidR="00E26B50" w:rsidRDefault="00E26B50" w:rsidP="0018304A">
      <w:pPr>
        <w:spacing w:line="276" w:lineRule="auto"/>
        <w:rPr>
          <w:rFonts w:asciiTheme="minorHAnsi" w:hAnsiTheme="minorHAnsi" w:cs="Arial"/>
          <w:szCs w:val="22"/>
        </w:rPr>
      </w:pPr>
    </w:p>
    <w:p w14:paraId="30E0D5F8" w14:textId="24F31C88" w:rsidR="0052430F" w:rsidRPr="00D25BE7" w:rsidRDefault="0052430F" w:rsidP="00461433">
      <w:pPr>
        <w:spacing w:line="276" w:lineRule="auto"/>
        <w:rPr>
          <w:rFonts w:asciiTheme="minorHAnsi" w:hAnsiTheme="minorHAnsi" w:cs="Arial"/>
          <w:i/>
          <w:sz w:val="20"/>
        </w:rPr>
      </w:pPr>
    </w:p>
    <w:sdt>
      <w:sdtPr>
        <w:rPr>
          <w:rFonts w:asciiTheme="minorHAnsi" w:hAnsiTheme="minorHAnsi"/>
          <w:b w:val="0"/>
          <w:bCs w:val="0"/>
          <w:color w:val="auto"/>
          <w:sz w:val="22"/>
          <w:szCs w:val="20"/>
        </w:rPr>
        <w:id w:val="1833334915"/>
        <w:docPartObj>
          <w:docPartGallery w:val="Table of Contents"/>
          <w:docPartUnique/>
        </w:docPartObj>
      </w:sdtPr>
      <w:sdtEndPr>
        <w:rPr>
          <w:noProof/>
        </w:rPr>
      </w:sdtEndPr>
      <w:sdtContent>
        <w:p w14:paraId="32BB7EEB" w14:textId="77777777" w:rsidR="003B1277" w:rsidRPr="00D25BE7" w:rsidRDefault="003B1277" w:rsidP="003B1277">
          <w:pPr>
            <w:pStyle w:val="TOCHeading"/>
            <w:tabs>
              <w:tab w:val="center" w:pos="4680"/>
            </w:tabs>
            <w:rPr>
              <w:rFonts w:asciiTheme="minorHAnsi" w:hAnsiTheme="minorHAnsi"/>
            </w:rPr>
          </w:pPr>
          <w:r w:rsidRPr="00D25BE7">
            <w:rPr>
              <w:rFonts w:asciiTheme="minorHAnsi" w:hAnsiTheme="minorHAnsi"/>
            </w:rPr>
            <w:t>Table of Contents</w:t>
          </w:r>
          <w:r w:rsidRPr="00D25BE7">
            <w:rPr>
              <w:rFonts w:asciiTheme="minorHAnsi" w:hAnsiTheme="minorHAnsi"/>
            </w:rPr>
            <w:tab/>
          </w:r>
        </w:p>
        <w:p w14:paraId="26BF1D65" w14:textId="77777777" w:rsidR="005E182C" w:rsidRDefault="003B1277">
          <w:pPr>
            <w:pStyle w:val="TOC1"/>
            <w:tabs>
              <w:tab w:val="left" w:pos="376"/>
              <w:tab w:val="right" w:leader="dot" w:pos="9350"/>
            </w:tabs>
            <w:rPr>
              <w:rFonts w:eastAsiaTheme="minorEastAsia" w:cstheme="minorBidi"/>
              <w:b w:val="0"/>
              <w:bCs w:val="0"/>
              <w:i w:val="0"/>
              <w:iCs w:val="0"/>
              <w:noProof/>
              <w:lang w:val="en-GB" w:eastAsia="ja-JP"/>
            </w:rPr>
          </w:pPr>
          <w:r w:rsidRPr="00D25BE7">
            <w:rPr>
              <w:b w:val="0"/>
              <w:bCs w:val="0"/>
            </w:rPr>
            <w:fldChar w:fldCharType="begin"/>
          </w:r>
          <w:r w:rsidRPr="001E16D5">
            <w:instrText xml:space="preserve"> TOC \o "1-3" \h \z \u </w:instrText>
          </w:r>
          <w:r w:rsidRPr="00D25BE7">
            <w:rPr>
              <w:b w:val="0"/>
              <w:bCs w:val="0"/>
            </w:rPr>
            <w:fldChar w:fldCharType="separate"/>
          </w:r>
          <w:r w:rsidR="005E182C" w:rsidRPr="00D040C8">
            <w:rPr>
              <w:noProof/>
            </w:rPr>
            <w:t>I.</w:t>
          </w:r>
          <w:r w:rsidR="005E182C">
            <w:rPr>
              <w:rFonts w:eastAsiaTheme="minorEastAsia" w:cstheme="minorBidi"/>
              <w:b w:val="0"/>
              <w:bCs w:val="0"/>
              <w:i w:val="0"/>
              <w:iCs w:val="0"/>
              <w:noProof/>
              <w:lang w:val="en-GB" w:eastAsia="ja-JP"/>
            </w:rPr>
            <w:tab/>
          </w:r>
          <w:r w:rsidR="005E182C" w:rsidRPr="00D040C8">
            <w:rPr>
              <w:noProof/>
            </w:rPr>
            <w:t>INTRODUCTION</w:t>
          </w:r>
          <w:r w:rsidR="005E182C">
            <w:rPr>
              <w:noProof/>
            </w:rPr>
            <w:tab/>
          </w:r>
          <w:r w:rsidR="005E182C">
            <w:rPr>
              <w:noProof/>
            </w:rPr>
            <w:fldChar w:fldCharType="begin"/>
          </w:r>
          <w:r w:rsidR="005E182C">
            <w:rPr>
              <w:noProof/>
            </w:rPr>
            <w:instrText xml:space="preserve"> PAGEREF _Toc455467798 \h </w:instrText>
          </w:r>
          <w:r w:rsidR="005E182C">
            <w:rPr>
              <w:noProof/>
            </w:rPr>
          </w:r>
          <w:r w:rsidR="005E182C">
            <w:rPr>
              <w:noProof/>
            </w:rPr>
            <w:fldChar w:fldCharType="separate"/>
          </w:r>
          <w:r w:rsidR="005E182C">
            <w:rPr>
              <w:noProof/>
            </w:rPr>
            <w:t>3</w:t>
          </w:r>
          <w:r w:rsidR="005E182C">
            <w:rPr>
              <w:noProof/>
            </w:rPr>
            <w:fldChar w:fldCharType="end"/>
          </w:r>
        </w:p>
        <w:p w14:paraId="0CD78396" w14:textId="77777777" w:rsidR="005E182C" w:rsidRDefault="005E182C">
          <w:pPr>
            <w:pStyle w:val="TOC1"/>
            <w:tabs>
              <w:tab w:val="left" w:pos="458"/>
              <w:tab w:val="right" w:leader="dot" w:pos="9350"/>
            </w:tabs>
            <w:rPr>
              <w:rFonts w:eastAsiaTheme="minorEastAsia" w:cstheme="minorBidi"/>
              <w:b w:val="0"/>
              <w:bCs w:val="0"/>
              <w:i w:val="0"/>
              <w:iCs w:val="0"/>
              <w:noProof/>
              <w:lang w:val="en-GB" w:eastAsia="ja-JP"/>
            </w:rPr>
          </w:pPr>
          <w:r w:rsidRPr="00D040C8">
            <w:rPr>
              <w:noProof/>
            </w:rPr>
            <w:t>II.</w:t>
          </w:r>
          <w:r>
            <w:rPr>
              <w:rFonts w:eastAsiaTheme="minorEastAsia" w:cstheme="minorBidi"/>
              <w:b w:val="0"/>
              <w:bCs w:val="0"/>
              <w:i w:val="0"/>
              <w:iCs w:val="0"/>
              <w:noProof/>
              <w:lang w:val="en-GB" w:eastAsia="ja-JP"/>
            </w:rPr>
            <w:tab/>
          </w:r>
          <w:r w:rsidRPr="00D040C8">
            <w:rPr>
              <w:noProof/>
            </w:rPr>
            <w:t>THE PORTFOLIO</w:t>
          </w:r>
          <w:r>
            <w:rPr>
              <w:noProof/>
            </w:rPr>
            <w:tab/>
          </w:r>
          <w:r>
            <w:rPr>
              <w:noProof/>
            </w:rPr>
            <w:fldChar w:fldCharType="begin"/>
          </w:r>
          <w:r>
            <w:rPr>
              <w:noProof/>
            </w:rPr>
            <w:instrText xml:space="preserve"> PAGEREF _Toc455467799 \h </w:instrText>
          </w:r>
          <w:r>
            <w:rPr>
              <w:noProof/>
            </w:rPr>
          </w:r>
          <w:r>
            <w:rPr>
              <w:noProof/>
            </w:rPr>
            <w:fldChar w:fldCharType="separate"/>
          </w:r>
          <w:r>
            <w:rPr>
              <w:noProof/>
            </w:rPr>
            <w:t>4</w:t>
          </w:r>
          <w:r>
            <w:rPr>
              <w:noProof/>
            </w:rPr>
            <w:fldChar w:fldCharType="end"/>
          </w:r>
        </w:p>
        <w:p w14:paraId="42DFC771" w14:textId="77777777" w:rsidR="005E182C" w:rsidRDefault="005E182C">
          <w:pPr>
            <w:pStyle w:val="TOC1"/>
            <w:tabs>
              <w:tab w:val="left" w:pos="540"/>
              <w:tab w:val="right" w:leader="dot" w:pos="9350"/>
            </w:tabs>
            <w:rPr>
              <w:rFonts w:eastAsiaTheme="minorEastAsia" w:cstheme="minorBidi"/>
              <w:b w:val="0"/>
              <w:bCs w:val="0"/>
              <w:i w:val="0"/>
              <w:iCs w:val="0"/>
              <w:noProof/>
              <w:lang w:val="en-GB" w:eastAsia="ja-JP"/>
            </w:rPr>
          </w:pPr>
          <w:r w:rsidRPr="00D040C8">
            <w:rPr>
              <w:noProof/>
            </w:rPr>
            <w:t>III.</w:t>
          </w:r>
          <w:r>
            <w:rPr>
              <w:rFonts w:eastAsiaTheme="minorEastAsia" w:cstheme="minorBidi"/>
              <w:b w:val="0"/>
              <w:bCs w:val="0"/>
              <w:i w:val="0"/>
              <w:iCs w:val="0"/>
              <w:noProof/>
              <w:lang w:val="en-GB" w:eastAsia="ja-JP"/>
            </w:rPr>
            <w:tab/>
          </w:r>
          <w:r w:rsidRPr="00D040C8">
            <w:rPr>
              <w:noProof/>
            </w:rPr>
            <w:t>OVERALL PORTFOLIO PERFORMANCE TO FY2018</w:t>
          </w:r>
          <w:r>
            <w:rPr>
              <w:noProof/>
            </w:rPr>
            <w:tab/>
          </w:r>
          <w:r>
            <w:rPr>
              <w:noProof/>
            </w:rPr>
            <w:fldChar w:fldCharType="begin"/>
          </w:r>
          <w:r>
            <w:rPr>
              <w:noProof/>
            </w:rPr>
            <w:instrText xml:space="preserve"> PAGEREF _Toc455467800 \h </w:instrText>
          </w:r>
          <w:r>
            <w:rPr>
              <w:noProof/>
            </w:rPr>
          </w:r>
          <w:r>
            <w:rPr>
              <w:noProof/>
            </w:rPr>
            <w:fldChar w:fldCharType="separate"/>
          </w:r>
          <w:r>
            <w:rPr>
              <w:noProof/>
            </w:rPr>
            <w:t>7</w:t>
          </w:r>
          <w:r>
            <w:rPr>
              <w:noProof/>
            </w:rPr>
            <w:fldChar w:fldCharType="end"/>
          </w:r>
        </w:p>
        <w:p w14:paraId="1DF30B80" w14:textId="77777777" w:rsidR="005E182C" w:rsidRDefault="005E182C">
          <w:pPr>
            <w:pStyle w:val="TOC1"/>
            <w:tabs>
              <w:tab w:val="left" w:pos="519"/>
              <w:tab w:val="right" w:leader="dot" w:pos="9350"/>
            </w:tabs>
            <w:rPr>
              <w:rFonts w:eastAsiaTheme="minorEastAsia" w:cstheme="minorBidi"/>
              <w:b w:val="0"/>
              <w:bCs w:val="0"/>
              <w:i w:val="0"/>
              <w:iCs w:val="0"/>
              <w:noProof/>
              <w:lang w:val="en-GB" w:eastAsia="ja-JP"/>
            </w:rPr>
          </w:pPr>
          <w:r w:rsidRPr="00D040C8">
            <w:rPr>
              <w:noProof/>
            </w:rPr>
            <w:t>IV.</w:t>
          </w:r>
          <w:r>
            <w:rPr>
              <w:rFonts w:eastAsiaTheme="minorEastAsia" w:cstheme="minorBidi"/>
              <w:b w:val="0"/>
              <w:bCs w:val="0"/>
              <w:i w:val="0"/>
              <w:iCs w:val="0"/>
              <w:noProof/>
              <w:lang w:val="en-GB" w:eastAsia="ja-JP"/>
            </w:rPr>
            <w:tab/>
          </w:r>
          <w:r w:rsidRPr="00D040C8">
            <w:rPr>
              <w:noProof/>
            </w:rPr>
            <w:t>GOVERNMENT 100% OWNERSHIP PERFORMANCE TO FY 2018</w:t>
          </w:r>
          <w:r>
            <w:rPr>
              <w:noProof/>
            </w:rPr>
            <w:tab/>
          </w:r>
          <w:r>
            <w:rPr>
              <w:noProof/>
            </w:rPr>
            <w:fldChar w:fldCharType="begin"/>
          </w:r>
          <w:r>
            <w:rPr>
              <w:noProof/>
            </w:rPr>
            <w:instrText xml:space="preserve"> PAGEREF _Toc455467801 \h </w:instrText>
          </w:r>
          <w:r>
            <w:rPr>
              <w:noProof/>
            </w:rPr>
          </w:r>
          <w:r>
            <w:rPr>
              <w:noProof/>
            </w:rPr>
            <w:fldChar w:fldCharType="separate"/>
          </w:r>
          <w:r>
            <w:rPr>
              <w:noProof/>
            </w:rPr>
            <w:t>10</w:t>
          </w:r>
          <w:r>
            <w:rPr>
              <w:noProof/>
            </w:rPr>
            <w:fldChar w:fldCharType="end"/>
          </w:r>
        </w:p>
        <w:p w14:paraId="100CF1FD" w14:textId="77777777" w:rsidR="005E182C" w:rsidRDefault="005E182C">
          <w:pPr>
            <w:pStyle w:val="TOC1"/>
            <w:tabs>
              <w:tab w:val="left" w:pos="437"/>
              <w:tab w:val="right" w:leader="dot" w:pos="9350"/>
            </w:tabs>
            <w:rPr>
              <w:rFonts w:eastAsiaTheme="minorEastAsia" w:cstheme="minorBidi"/>
              <w:b w:val="0"/>
              <w:bCs w:val="0"/>
              <w:i w:val="0"/>
              <w:iCs w:val="0"/>
              <w:noProof/>
              <w:lang w:val="en-GB" w:eastAsia="ja-JP"/>
            </w:rPr>
          </w:pPr>
          <w:r w:rsidRPr="00D040C8">
            <w:rPr>
              <w:noProof/>
            </w:rPr>
            <w:t>V.</w:t>
          </w:r>
          <w:r>
            <w:rPr>
              <w:rFonts w:eastAsiaTheme="minorEastAsia" w:cstheme="minorBidi"/>
              <w:b w:val="0"/>
              <w:bCs w:val="0"/>
              <w:i w:val="0"/>
              <w:iCs w:val="0"/>
              <w:noProof/>
              <w:lang w:val="en-GB" w:eastAsia="ja-JP"/>
            </w:rPr>
            <w:tab/>
          </w:r>
          <w:r w:rsidRPr="00D040C8">
            <w:rPr>
              <w:noProof/>
            </w:rPr>
            <w:t>SOES UNDER LNDC WITH OVERALL GOVERNMENT CONTROL</w:t>
          </w:r>
          <w:r>
            <w:rPr>
              <w:noProof/>
            </w:rPr>
            <w:tab/>
          </w:r>
          <w:r>
            <w:rPr>
              <w:noProof/>
            </w:rPr>
            <w:fldChar w:fldCharType="begin"/>
          </w:r>
          <w:r>
            <w:rPr>
              <w:noProof/>
            </w:rPr>
            <w:instrText xml:space="preserve"> PAGEREF _Toc455467802 \h </w:instrText>
          </w:r>
          <w:r>
            <w:rPr>
              <w:noProof/>
            </w:rPr>
          </w:r>
          <w:r>
            <w:rPr>
              <w:noProof/>
            </w:rPr>
            <w:fldChar w:fldCharType="separate"/>
          </w:r>
          <w:r>
            <w:rPr>
              <w:noProof/>
            </w:rPr>
            <w:t>13</w:t>
          </w:r>
          <w:r>
            <w:rPr>
              <w:noProof/>
            </w:rPr>
            <w:fldChar w:fldCharType="end"/>
          </w:r>
        </w:p>
        <w:p w14:paraId="5BAC2B22" w14:textId="77777777" w:rsidR="005E182C" w:rsidRDefault="005E182C">
          <w:pPr>
            <w:pStyle w:val="TOC1"/>
            <w:tabs>
              <w:tab w:val="left" w:pos="519"/>
              <w:tab w:val="right" w:leader="dot" w:pos="9350"/>
            </w:tabs>
            <w:rPr>
              <w:rFonts w:eastAsiaTheme="minorEastAsia" w:cstheme="minorBidi"/>
              <w:b w:val="0"/>
              <w:bCs w:val="0"/>
              <w:i w:val="0"/>
              <w:iCs w:val="0"/>
              <w:noProof/>
              <w:lang w:val="en-GB" w:eastAsia="ja-JP"/>
            </w:rPr>
          </w:pPr>
          <w:r w:rsidRPr="00D040C8">
            <w:rPr>
              <w:noProof/>
            </w:rPr>
            <w:t>VI.</w:t>
          </w:r>
          <w:r>
            <w:rPr>
              <w:rFonts w:eastAsiaTheme="minorEastAsia" w:cstheme="minorBidi"/>
              <w:b w:val="0"/>
              <w:bCs w:val="0"/>
              <w:i w:val="0"/>
              <w:iCs w:val="0"/>
              <w:noProof/>
              <w:lang w:val="en-GB" w:eastAsia="ja-JP"/>
            </w:rPr>
            <w:tab/>
          </w:r>
          <w:r w:rsidRPr="00D040C8">
            <w:rPr>
              <w:noProof/>
            </w:rPr>
            <w:t>GOVERNMENT MINORITY HOLDINGS</w:t>
          </w:r>
          <w:r>
            <w:rPr>
              <w:noProof/>
            </w:rPr>
            <w:tab/>
          </w:r>
          <w:r>
            <w:rPr>
              <w:noProof/>
            </w:rPr>
            <w:fldChar w:fldCharType="begin"/>
          </w:r>
          <w:r>
            <w:rPr>
              <w:noProof/>
            </w:rPr>
            <w:instrText xml:space="preserve"> PAGEREF _Toc455467803 \h </w:instrText>
          </w:r>
          <w:r>
            <w:rPr>
              <w:noProof/>
            </w:rPr>
          </w:r>
          <w:r>
            <w:rPr>
              <w:noProof/>
            </w:rPr>
            <w:fldChar w:fldCharType="separate"/>
          </w:r>
          <w:r>
            <w:rPr>
              <w:noProof/>
            </w:rPr>
            <w:t>15</w:t>
          </w:r>
          <w:r>
            <w:rPr>
              <w:noProof/>
            </w:rPr>
            <w:fldChar w:fldCharType="end"/>
          </w:r>
        </w:p>
        <w:p w14:paraId="76FFA857" w14:textId="77777777" w:rsidR="005E182C" w:rsidRDefault="005E182C">
          <w:pPr>
            <w:pStyle w:val="TOC1"/>
            <w:tabs>
              <w:tab w:val="left" w:pos="601"/>
              <w:tab w:val="right" w:leader="dot" w:pos="9350"/>
            </w:tabs>
            <w:rPr>
              <w:rFonts w:eastAsiaTheme="minorEastAsia" w:cstheme="minorBidi"/>
              <w:b w:val="0"/>
              <w:bCs w:val="0"/>
              <w:i w:val="0"/>
              <w:iCs w:val="0"/>
              <w:noProof/>
              <w:lang w:val="en-GB" w:eastAsia="ja-JP"/>
            </w:rPr>
          </w:pPr>
          <w:r w:rsidRPr="00D040C8">
            <w:rPr>
              <w:noProof/>
            </w:rPr>
            <w:t>VII.</w:t>
          </w:r>
          <w:r>
            <w:rPr>
              <w:rFonts w:eastAsiaTheme="minorEastAsia" w:cstheme="minorBidi"/>
              <w:b w:val="0"/>
              <w:bCs w:val="0"/>
              <w:i w:val="0"/>
              <w:iCs w:val="0"/>
              <w:noProof/>
              <w:lang w:val="en-GB" w:eastAsia="ja-JP"/>
            </w:rPr>
            <w:tab/>
          </w:r>
          <w:r w:rsidRPr="00D040C8">
            <w:rPr>
              <w:noProof/>
            </w:rPr>
            <w:t>SECTOR ANALYSIS</w:t>
          </w:r>
          <w:r>
            <w:rPr>
              <w:noProof/>
            </w:rPr>
            <w:tab/>
          </w:r>
          <w:r>
            <w:rPr>
              <w:noProof/>
            </w:rPr>
            <w:fldChar w:fldCharType="begin"/>
          </w:r>
          <w:r>
            <w:rPr>
              <w:noProof/>
            </w:rPr>
            <w:instrText xml:space="preserve"> PAGEREF _Toc455467804 \h </w:instrText>
          </w:r>
          <w:r>
            <w:rPr>
              <w:noProof/>
            </w:rPr>
          </w:r>
          <w:r>
            <w:rPr>
              <w:noProof/>
            </w:rPr>
            <w:fldChar w:fldCharType="separate"/>
          </w:r>
          <w:r>
            <w:rPr>
              <w:noProof/>
            </w:rPr>
            <w:t>18</w:t>
          </w:r>
          <w:r>
            <w:rPr>
              <w:noProof/>
            </w:rPr>
            <w:fldChar w:fldCharType="end"/>
          </w:r>
        </w:p>
        <w:p w14:paraId="48EA0E83" w14:textId="77777777" w:rsidR="005E182C" w:rsidRDefault="005E182C">
          <w:pPr>
            <w:pStyle w:val="TOC1"/>
            <w:tabs>
              <w:tab w:val="left" w:pos="683"/>
              <w:tab w:val="right" w:leader="dot" w:pos="9350"/>
            </w:tabs>
            <w:rPr>
              <w:rFonts w:eastAsiaTheme="minorEastAsia" w:cstheme="minorBidi"/>
              <w:b w:val="0"/>
              <w:bCs w:val="0"/>
              <w:i w:val="0"/>
              <w:iCs w:val="0"/>
              <w:noProof/>
              <w:lang w:val="en-GB" w:eastAsia="ja-JP"/>
            </w:rPr>
          </w:pPr>
          <w:r w:rsidRPr="00D040C8">
            <w:rPr>
              <w:noProof/>
            </w:rPr>
            <w:t>VIII.</w:t>
          </w:r>
          <w:r>
            <w:rPr>
              <w:rFonts w:eastAsiaTheme="minorEastAsia" w:cstheme="minorBidi"/>
              <w:b w:val="0"/>
              <w:bCs w:val="0"/>
              <w:i w:val="0"/>
              <w:iCs w:val="0"/>
              <w:noProof/>
              <w:lang w:val="en-GB" w:eastAsia="ja-JP"/>
            </w:rPr>
            <w:tab/>
          </w:r>
          <w:r w:rsidRPr="00D040C8">
            <w:rPr>
              <w:noProof/>
            </w:rPr>
            <w:t>OTHER INFLOWS AND OUTFLOWS TO/FROM THE SOE SECTOR</w:t>
          </w:r>
          <w:r>
            <w:rPr>
              <w:noProof/>
            </w:rPr>
            <w:tab/>
          </w:r>
          <w:r>
            <w:rPr>
              <w:noProof/>
            </w:rPr>
            <w:fldChar w:fldCharType="begin"/>
          </w:r>
          <w:r>
            <w:rPr>
              <w:noProof/>
            </w:rPr>
            <w:instrText xml:space="preserve"> PAGEREF _Toc455467805 \h </w:instrText>
          </w:r>
          <w:r>
            <w:rPr>
              <w:noProof/>
            </w:rPr>
          </w:r>
          <w:r>
            <w:rPr>
              <w:noProof/>
            </w:rPr>
            <w:fldChar w:fldCharType="separate"/>
          </w:r>
          <w:r>
            <w:rPr>
              <w:noProof/>
            </w:rPr>
            <w:t>19</w:t>
          </w:r>
          <w:r>
            <w:rPr>
              <w:noProof/>
            </w:rPr>
            <w:fldChar w:fldCharType="end"/>
          </w:r>
        </w:p>
        <w:p w14:paraId="563B89A3" w14:textId="77777777" w:rsidR="005E182C" w:rsidRDefault="005E182C">
          <w:pPr>
            <w:pStyle w:val="TOC1"/>
            <w:tabs>
              <w:tab w:val="left" w:pos="517"/>
              <w:tab w:val="right" w:leader="dot" w:pos="9350"/>
            </w:tabs>
            <w:rPr>
              <w:rFonts w:eastAsiaTheme="minorEastAsia" w:cstheme="minorBidi"/>
              <w:b w:val="0"/>
              <w:bCs w:val="0"/>
              <w:i w:val="0"/>
              <w:iCs w:val="0"/>
              <w:noProof/>
              <w:lang w:val="en-GB" w:eastAsia="ja-JP"/>
            </w:rPr>
          </w:pPr>
          <w:r w:rsidRPr="00D040C8">
            <w:rPr>
              <w:noProof/>
            </w:rPr>
            <w:t>IX.</w:t>
          </w:r>
          <w:r>
            <w:rPr>
              <w:rFonts w:eastAsiaTheme="minorEastAsia" w:cstheme="minorBidi"/>
              <w:b w:val="0"/>
              <w:bCs w:val="0"/>
              <w:i w:val="0"/>
              <w:iCs w:val="0"/>
              <w:noProof/>
              <w:lang w:val="en-GB" w:eastAsia="ja-JP"/>
            </w:rPr>
            <w:tab/>
          </w:r>
          <w:r w:rsidRPr="00D040C8">
            <w:rPr>
              <w:noProof/>
            </w:rPr>
            <w:t>ISSUES OF GOVERNANCE AND RISK</w:t>
          </w:r>
          <w:r>
            <w:rPr>
              <w:noProof/>
            </w:rPr>
            <w:tab/>
          </w:r>
          <w:r>
            <w:rPr>
              <w:noProof/>
            </w:rPr>
            <w:fldChar w:fldCharType="begin"/>
          </w:r>
          <w:r>
            <w:rPr>
              <w:noProof/>
            </w:rPr>
            <w:instrText xml:space="preserve"> PAGEREF _Toc455467806 \h </w:instrText>
          </w:r>
          <w:r>
            <w:rPr>
              <w:noProof/>
            </w:rPr>
          </w:r>
          <w:r>
            <w:rPr>
              <w:noProof/>
            </w:rPr>
            <w:fldChar w:fldCharType="separate"/>
          </w:r>
          <w:r>
            <w:rPr>
              <w:noProof/>
            </w:rPr>
            <w:t>21</w:t>
          </w:r>
          <w:r>
            <w:rPr>
              <w:noProof/>
            </w:rPr>
            <w:fldChar w:fldCharType="end"/>
          </w:r>
        </w:p>
        <w:p w14:paraId="451C0815" w14:textId="77777777" w:rsidR="005E182C" w:rsidRDefault="005E182C">
          <w:pPr>
            <w:pStyle w:val="TOC1"/>
            <w:tabs>
              <w:tab w:val="left" w:pos="435"/>
              <w:tab w:val="right" w:leader="dot" w:pos="9350"/>
            </w:tabs>
            <w:rPr>
              <w:rFonts w:eastAsiaTheme="minorEastAsia" w:cstheme="minorBidi"/>
              <w:b w:val="0"/>
              <w:bCs w:val="0"/>
              <w:i w:val="0"/>
              <w:iCs w:val="0"/>
              <w:noProof/>
              <w:lang w:val="en-GB" w:eastAsia="ja-JP"/>
            </w:rPr>
          </w:pPr>
          <w:r w:rsidRPr="00D040C8">
            <w:rPr>
              <w:noProof/>
            </w:rPr>
            <w:t>X.</w:t>
          </w:r>
          <w:r>
            <w:rPr>
              <w:rFonts w:eastAsiaTheme="minorEastAsia" w:cstheme="minorBidi"/>
              <w:b w:val="0"/>
              <w:bCs w:val="0"/>
              <w:i w:val="0"/>
              <w:iCs w:val="0"/>
              <w:noProof/>
              <w:lang w:val="en-GB" w:eastAsia="ja-JP"/>
            </w:rPr>
            <w:tab/>
          </w:r>
          <w:r w:rsidRPr="00D040C8">
            <w:rPr>
              <w:noProof/>
            </w:rPr>
            <w:t>INDIVIDUAL SOE PERFORMANCES</w:t>
          </w:r>
          <w:r>
            <w:rPr>
              <w:noProof/>
            </w:rPr>
            <w:tab/>
          </w:r>
          <w:r>
            <w:rPr>
              <w:noProof/>
            </w:rPr>
            <w:fldChar w:fldCharType="begin"/>
          </w:r>
          <w:r>
            <w:rPr>
              <w:noProof/>
            </w:rPr>
            <w:instrText xml:space="preserve"> PAGEREF _Toc455467807 \h </w:instrText>
          </w:r>
          <w:r>
            <w:rPr>
              <w:noProof/>
            </w:rPr>
          </w:r>
          <w:r>
            <w:rPr>
              <w:noProof/>
            </w:rPr>
            <w:fldChar w:fldCharType="separate"/>
          </w:r>
          <w:r>
            <w:rPr>
              <w:noProof/>
            </w:rPr>
            <w:t>25</w:t>
          </w:r>
          <w:r>
            <w:rPr>
              <w:noProof/>
            </w:rPr>
            <w:fldChar w:fldCharType="end"/>
          </w:r>
        </w:p>
        <w:p w14:paraId="5F6EED9C" w14:textId="77777777" w:rsidR="005E182C" w:rsidRDefault="005E182C">
          <w:pPr>
            <w:pStyle w:val="TOC1"/>
            <w:tabs>
              <w:tab w:val="left" w:pos="517"/>
              <w:tab w:val="right" w:leader="dot" w:pos="9350"/>
            </w:tabs>
            <w:rPr>
              <w:rFonts w:eastAsiaTheme="minorEastAsia" w:cstheme="minorBidi"/>
              <w:b w:val="0"/>
              <w:bCs w:val="0"/>
              <w:i w:val="0"/>
              <w:iCs w:val="0"/>
              <w:noProof/>
              <w:lang w:val="en-GB" w:eastAsia="ja-JP"/>
            </w:rPr>
          </w:pPr>
          <w:r w:rsidRPr="00D040C8">
            <w:rPr>
              <w:noProof/>
            </w:rPr>
            <w:t>XI.</w:t>
          </w:r>
          <w:r>
            <w:rPr>
              <w:rFonts w:eastAsiaTheme="minorEastAsia" w:cstheme="minorBidi"/>
              <w:b w:val="0"/>
              <w:bCs w:val="0"/>
              <w:i w:val="0"/>
              <w:iCs w:val="0"/>
              <w:noProof/>
              <w:lang w:val="en-GB" w:eastAsia="ja-JP"/>
            </w:rPr>
            <w:tab/>
          </w:r>
          <w:r w:rsidRPr="00D040C8">
            <w:rPr>
              <w:noProof/>
            </w:rPr>
            <w:t>CONCLUSIONS AND RECOMMENDATIONS</w:t>
          </w:r>
          <w:r>
            <w:rPr>
              <w:noProof/>
            </w:rPr>
            <w:tab/>
          </w:r>
          <w:r>
            <w:rPr>
              <w:noProof/>
            </w:rPr>
            <w:fldChar w:fldCharType="begin"/>
          </w:r>
          <w:r>
            <w:rPr>
              <w:noProof/>
            </w:rPr>
            <w:instrText xml:space="preserve"> PAGEREF _Toc455467808 \h </w:instrText>
          </w:r>
          <w:r>
            <w:rPr>
              <w:noProof/>
            </w:rPr>
          </w:r>
          <w:r>
            <w:rPr>
              <w:noProof/>
            </w:rPr>
            <w:fldChar w:fldCharType="separate"/>
          </w:r>
          <w:r>
            <w:rPr>
              <w:noProof/>
            </w:rPr>
            <w:t>52</w:t>
          </w:r>
          <w:r>
            <w:rPr>
              <w:noProof/>
            </w:rPr>
            <w:fldChar w:fldCharType="end"/>
          </w:r>
        </w:p>
        <w:p w14:paraId="3D9E6DA9" w14:textId="77777777" w:rsidR="005E182C" w:rsidRDefault="005E182C">
          <w:pPr>
            <w:pStyle w:val="TOC1"/>
            <w:tabs>
              <w:tab w:val="right" w:leader="dot" w:pos="9350"/>
            </w:tabs>
            <w:rPr>
              <w:rFonts w:eastAsiaTheme="minorEastAsia" w:cstheme="minorBidi"/>
              <w:b w:val="0"/>
              <w:bCs w:val="0"/>
              <w:i w:val="0"/>
              <w:iCs w:val="0"/>
              <w:noProof/>
              <w:lang w:val="en-GB" w:eastAsia="ja-JP"/>
            </w:rPr>
          </w:pPr>
          <w:r w:rsidRPr="00D040C8">
            <w:rPr>
              <w:noProof/>
            </w:rPr>
            <w:t>ANNEX 1 – KEY PERFORMANCE INDICATORS</w:t>
          </w:r>
          <w:r>
            <w:rPr>
              <w:noProof/>
            </w:rPr>
            <w:tab/>
          </w:r>
          <w:r>
            <w:rPr>
              <w:noProof/>
            </w:rPr>
            <w:fldChar w:fldCharType="begin"/>
          </w:r>
          <w:r>
            <w:rPr>
              <w:noProof/>
            </w:rPr>
            <w:instrText xml:space="preserve"> PAGEREF _Toc455467809 \h </w:instrText>
          </w:r>
          <w:r>
            <w:rPr>
              <w:noProof/>
            </w:rPr>
          </w:r>
          <w:r>
            <w:rPr>
              <w:noProof/>
            </w:rPr>
            <w:fldChar w:fldCharType="separate"/>
          </w:r>
          <w:r>
            <w:rPr>
              <w:noProof/>
            </w:rPr>
            <w:t>58</w:t>
          </w:r>
          <w:r>
            <w:rPr>
              <w:noProof/>
            </w:rPr>
            <w:fldChar w:fldCharType="end"/>
          </w:r>
        </w:p>
        <w:p w14:paraId="5D1CD487" w14:textId="13DB8C84" w:rsidR="003B1277" w:rsidRPr="00D25BE7" w:rsidRDefault="003B1277" w:rsidP="003B1277">
          <w:pPr>
            <w:rPr>
              <w:rFonts w:asciiTheme="minorHAnsi" w:hAnsiTheme="minorHAnsi"/>
            </w:rPr>
          </w:pPr>
          <w:r w:rsidRPr="00D25BE7">
            <w:rPr>
              <w:rFonts w:asciiTheme="minorHAnsi" w:hAnsiTheme="minorHAnsi"/>
              <w:b/>
              <w:bCs/>
              <w:noProof/>
            </w:rPr>
            <w:fldChar w:fldCharType="end"/>
          </w:r>
        </w:p>
      </w:sdtContent>
    </w:sdt>
    <w:p w14:paraId="36121B0E" w14:textId="402CA211" w:rsidR="003B1277" w:rsidRPr="00D25BE7" w:rsidRDefault="003B1277" w:rsidP="003B1277">
      <w:pPr>
        <w:ind w:firstLine="360"/>
        <w:rPr>
          <w:rFonts w:asciiTheme="minorHAnsi" w:hAnsiTheme="minorHAnsi" w:cs="Arial"/>
          <w:color w:val="000000"/>
          <w:sz w:val="20"/>
          <w:shd w:val="clear" w:color="auto" w:fill="FFFFFF"/>
        </w:rPr>
      </w:pPr>
    </w:p>
    <w:p w14:paraId="6FA4C405" w14:textId="17373BF0" w:rsidR="003B1277" w:rsidRPr="00D25BE7" w:rsidRDefault="003B1277" w:rsidP="003B1277">
      <w:pPr>
        <w:rPr>
          <w:rFonts w:asciiTheme="minorHAnsi" w:hAnsiTheme="minorHAnsi" w:cs="Arial"/>
        </w:rPr>
      </w:pPr>
    </w:p>
    <w:p w14:paraId="1F00EF27" w14:textId="190A46A5" w:rsidR="00F868BB" w:rsidRPr="00D25BE7" w:rsidRDefault="00F868BB" w:rsidP="003B1277">
      <w:pPr>
        <w:rPr>
          <w:rFonts w:asciiTheme="minorHAnsi" w:hAnsiTheme="minorHAnsi" w:cs="Arial"/>
        </w:rPr>
      </w:pPr>
    </w:p>
    <w:p w14:paraId="12215E4E" w14:textId="6174BE6A" w:rsidR="00F868BB" w:rsidRPr="00D25BE7" w:rsidRDefault="00F868BB" w:rsidP="003B1277">
      <w:pPr>
        <w:rPr>
          <w:rFonts w:asciiTheme="minorHAnsi" w:hAnsiTheme="minorHAnsi" w:cs="Arial"/>
        </w:rPr>
      </w:pPr>
    </w:p>
    <w:p w14:paraId="252B9232" w14:textId="0E4F3A18" w:rsidR="00F868BB" w:rsidRPr="00D25BE7" w:rsidRDefault="00F868BB" w:rsidP="003B1277">
      <w:pPr>
        <w:rPr>
          <w:rFonts w:asciiTheme="minorHAnsi" w:hAnsiTheme="minorHAnsi" w:cs="Arial"/>
        </w:rPr>
      </w:pPr>
    </w:p>
    <w:p w14:paraId="139457C7" w14:textId="14AB064A" w:rsidR="00F868BB" w:rsidRPr="00D25BE7" w:rsidRDefault="00F868BB" w:rsidP="003B1277">
      <w:pPr>
        <w:rPr>
          <w:rFonts w:asciiTheme="minorHAnsi" w:hAnsiTheme="minorHAnsi" w:cs="Arial"/>
        </w:rPr>
      </w:pPr>
    </w:p>
    <w:p w14:paraId="3CF833B0" w14:textId="4369FBF1" w:rsidR="00F868BB" w:rsidRPr="00D25BE7" w:rsidRDefault="00F868BB" w:rsidP="003B1277">
      <w:pPr>
        <w:rPr>
          <w:rFonts w:asciiTheme="minorHAnsi" w:hAnsiTheme="minorHAnsi" w:cs="Arial"/>
        </w:rPr>
      </w:pPr>
    </w:p>
    <w:p w14:paraId="189091ED" w14:textId="77777777" w:rsidR="00F868BB" w:rsidRPr="00D25BE7" w:rsidRDefault="00F868BB" w:rsidP="003B1277">
      <w:pPr>
        <w:rPr>
          <w:rFonts w:asciiTheme="minorHAnsi" w:hAnsiTheme="minorHAnsi" w:cs="Arial"/>
        </w:rPr>
      </w:pPr>
    </w:p>
    <w:p w14:paraId="0E666F82" w14:textId="77777777" w:rsidR="00D16903" w:rsidRPr="00D25BE7" w:rsidRDefault="00D16903" w:rsidP="00D16903">
      <w:pPr>
        <w:rPr>
          <w:rFonts w:asciiTheme="minorHAnsi" w:hAnsiTheme="minorHAnsi" w:cs="Arial"/>
        </w:rPr>
      </w:pPr>
    </w:p>
    <w:p w14:paraId="7E6B2CC5" w14:textId="77777777" w:rsidR="00D16903" w:rsidRPr="00D25BE7" w:rsidRDefault="00D16903" w:rsidP="00D16903">
      <w:pPr>
        <w:rPr>
          <w:rFonts w:asciiTheme="minorHAnsi" w:hAnsiTheme="minorHAnsi" w:cs="Arial"/>
        </w:rPr>
      </w:pPr>
    </w:p>
    <w:p w14:paraId="00D67EE7" w14:textId="77777777" w:rsidR="00D16903" w:rsidRPr="00D25BE7" w:rsidRDefault="00D16903" w:rsidP="00D16903">
      <w:pPr>
        <w:rPr>
          <w:rFonts w:asciiTheme="minorHAnsi" w:hAnsiTheme="minorHAnsi" w:cs="Arial"/>
        </w:rPr>
      </w:pPr>
    </w:p>
    <w:p w14:paraId="08483DC8" w14:textId="77777777" w:rsidR="00D16903" w:rsidRPr="00D25BE7" w:rsidRDefault="00D16903" w:rsidP="00D16903">
      <w:pPr>
        <w:rPr>
          <w:rFonts w:asciiTheme="minorHAnsi" w:hAnsiTheme="minorHAnsi" w:cs="Arial"/>
        </w:rPr>
      </w:pPr>
    </w:p>
    <w:p w14:paraId="2601005D" w14:textId="77777777" w:rsidR="00D16903" w:rsidRPr="00D25BE7" w:rsidRDefault="00D16903" w:rsidP="00D16903">
      <w:pPr>
        <w:rPr>
          <w:rFonts w:asciiTheme="minorHAnsi" w:hAnsiTheme="minorHAnsi" w:cs="Arial"/>
        </w:rPr>
      </w:pPr>
    </w:p>
    <w:p w14:paraId="7FD843CE" w14:textId="77777777" w:rsidR="00D16903" w:rsidRPr="00D25BE7" w:rsidRDefault="00D16903" w:rsidP="00D16903">
      <w:pPr>
        <w:rPr>
          <w:rFonts w:asciiTheme="minorHAnsi" w:hAnsiTheme="minorHAnsi" w:cs="Arial"/>
        </w:rPr>
      </w:pPr>
    </w:p>
    <w:p w14:paraId="03171E13" w14:textId="77777777" w:rsidR="00D16903" w:rsidRPr="00D25BE7" w:rsidRDefault="00D16903" w:rsidP="00D16903">
      <w:pPr>
        <w:rPr>
          <w:rFonts w:asciiTheme="minorHAnsi" w:hAnsiTheme="minorHAnsi" w:cs="Arial"/>
        </w:rPr>
      </w:pPr>
    </w:p>
    <w:p w14:paraId="1BE786AB" w14:textId="77777777" w:rsidR="00D16903" w:rsidRPr="00D25BE7" w:rsidRDefault="00D16903" w:rsidP="00D16903">
      <w:pPr>
        <w:rPr>
          <w:rFonts w:asciiTheme="minorHAnsi" w:hAnsiTheme="minorHAnsi" w:cs="Arial"/>
        </w:rPr>
      </w:pPr>
    </w:p>
    <w:p w14:paraId="0C301B0D" w14:textId="77777777" w:rsidR="00D16903" w:rsidRPr="00D25BE7" w:rsidRDefault="00D16903" w:rsidP="00D16903">
      <w:pPr>
        <w:rPr>
          <w:rFonts w:asciiTheme="minorHAnsi" w:hAnsiTheme="minorHAnsi" w:cs="Arial"/>
        </w:rPr>
      </w:pPr>
    </w:p>
    <w:p w14:paraId="18E3C696" w14:textId="0AAD3CA0" w:rsidR="00D16903" w:rsidRPr="00D25BE7" w:rsidRDefault="00D16903" w:rsidP="00D16903">
      <w:pPr>
        <w:rPr>
          <w:rFonts w:asciiTheme="minorHAnsi" w:hAnsiTheme="minorHAnsi" w:cs="Arial"/>
        </w:rPr>
        <w:sectPr w:rsidR="00D16903" w:rsidRPr="00D25BE7" w:rsidSect="00250D0A">
          <w:headerReference w:type="even" r:id="rId13"/>
          <w:headerReference w:type="default" r:id="rId14"/>
          <w:footerReference w:type="default" r:id="rId15"/>
          <w:headerReference w:type="first" r:id="rId16"/>
          <w:endnotePr>
            <w:numRestart w:val="eachSect"/>
          </w:endnotePr>
          <w:pgSz w:w="12240" w:h="15840"/>
          <w:pgMar w:top="1440" w:right="1440" w:bottom="1170" w:left="1440" w:header="720" w:footer="720" w:gutter="0"/>
          <w:pgNumType w:start="1"/>
          <w:cols w:space="720"/>
          <w:titlePg/>
          <w:docGrid w:linePitch="360"/>
        </w:sectPr>
      </w:pPr>
    </w:p>
    <w:p w14:paraId="41FB3FBC" w14:textId="77777777" w:rsidR="006B73D3" w:rsidRPr="00D25BE7" w:rsidRDefault="006B73D3" w:rsidP="00D25BE7">
      <w:pPr>
        <w:pStyle w:val="Heading1"/>
        <w:numPr>
          <w:ilvl w:val="0"/>
          <w:numId w:val="0"/>
        </w:numPr>
        <w:ind w:left="720"/>
        <w:jc w:val="both"/>
        <w:rPr>
          <w:rFonts w:asciiTheme="minorHAnsi" w:hAnsiTheme="minorHAnsi"/>
        </w:rPr>
      </w:pPr>
      <w:bookmarkStart w:id="2" w:name="_Toc507682215"/>
    </w:p>
    <w:p w14:paraId="754629FA" w14:textId="77777777" w:rsidR="003B1277" w:rsidRPr="00D25BE7" w:rsidRDefault="003B1277" w:rsidP="003B1277">
      <w:pPr>
        <w:pStyle w:val="Heading1"/>
        <w:rPr>
          <w:rFonts w:asciiTheme="minorHAnsi" w:hAnsiTheme="minorHAnsi"/>
        </w:rPr>
      </w:pPr>
      <w:bookmarkStart w:id="3" w:name="_Toc455467798"/>
      <w:r w:rsidRPr="00D25BE7">
        <w:rPr>
          <w:rFonts w:asciiTheme="minorHAnsi" w:hAnsiTheme="minorHAnsi"/>
        </w:rPr>
        <w:t>INTRODUCTION</w:t>
      </w:r>
      <w:bookmarkEnd w:id="2"/>
      <w:bookmarkEnd w:id="3"/>
    </w:p>
    <w:p w14:paraId="1FC55295" w14:textId="76888B2D" w:rsidR="00250D0A" w:rsidRPr="00D25BE7" w:rsidRDefault="00522CEE" w:rsidP="00522CEE">
      <w:pPr>
        <w:pStyle w:val="ListParagraph"/>
        <w:ind w:left="426" w:hanging="426"/>
        <w:rPr>
          <w:rFonts w:asciiTheme="minorHAnsi" w:hAnsiTheme="minorHAnsi"/>
          <w:lang w:val="en-GB"/>
        </w:rPr>
      </w:pPr>
      <w:r w:rsidRPr="00D25BE7">
        <w:rPr>
          <w:rFonts w:asciiTheme="minorHAnsi" w:eastAsiaTheme="minorEastAsia" w:hAnsiTheme="minorHAnsi"/>
          <w:lang w:val="en-GB"/>
        </w:rPr>
        <w:t>This Report provides an overview and analysis of the results and performance of the Government of Lesotho</w:t>
      </w:r>
      <w:r w:rsidR="00437511" w:rsidRPr="00D25BE7">
        <w:rPr>
          <w:rFonts w:asciiTheme="minorHAnsi" w:eastAsiaTheme="minorEastAsia" w:hAnsiTheme="minorHAnsi"/>
          <w:lang w:val="en-GB"/>
        </w:rPr>
        <w:t>’s (GoL)</w:t>
      </w:r>
      <w:r w:rsidRPr="00D25BE7">
        <w:rPr>
          <w:rFonts w:asciiTheme="minorHAnsi" w:eastAsiaTheme="minorEastAsia" w:hAnsiTheme="minorHAnsi"/>
          <w:lang w:val="en-GB"/>
        </w:rPr>
        <w:t xml:space="preserve"> state-owned enterprises </w:t>
      </w:r>
      <w:r w:rsidR="002E21D0" w:rsidRPr="00D25BE7">
        <w:rPr>
          <w:rFonts w:asciiTheme="minorHAnsi" w:eastAsiaTheme="minorEastAsia" w:hAnsiTheme="minorHAnsi"/>
          <w:lang w:val="en-GB"/>
        </w:rPr>
        <w:t xml:space="preserve">(SOEs) </w:t>
      </w:r>
      <w:r w:rsidR="00437511" w:rsidRPr="00D25BE7">
        <w:rPr>
          <w:rFonts w:asciiTheme="minorHAnsi" w:eastAsiaTheme="minorEastAsia" w:hAnsiTheme="minorHAnsi"/>
          <w:lang w:val="en-GB"/>
        </w:rPr>
        <w:t xml:space="preserve">and commercial companies in which the government has a non-controlling equity stake </w:t>
      </w:r>
      <w:r w:rsidRPr="00D25BE7">
        <w:rPr>
          <w:rFonts w:asciiTheme="minorHAnsi" w:eastAsiaTheme="minorEastAsia" w:hAnsiTheme="minorHAnsi"/>
          <w:lang w:val="en-GB"/>
        </w:rPr>
        <w:t>for the fiscal period ending March 201</w:t>
      </w:r>
      <w:r w:rsidR="00437511" w:rsidRPr="00D25BE7">
        <w:rPr>
          <w:rFonts w:asciiTheme="minorHAnsi" w:eastAsiaTheme="minorEastAsia" w:hAnsiTheme="minorHAnsi"/>
          <w:lang w:val="en-GB"/>
        </w:rPr>
        <w:t>8</w:t>
      </w:r>
      <w:r w:rsidRPr="00D25BE7">
        <w:rPr>
          <w:rFonts w:asciiTheme="minorHAnsi" w:eastAsiaTheme="minorEastAsia" w:hAnsiTheme="minorHAnsi"/>
          <w:lang w:val="en-GB"/>
        </w:rPr>
        <w:t>.</w:t>
      </w:r>
    </w:p>
    <w:p w14:paraId="4F85C413" w14:textId="725515A1" w:rsidR="00437511" w:rsidRPr="00D25BE7" w:rsidRDefault="00437511" w:rsidP="00437511">
      <w:pPr>
        <w:pStyle w:val="ListParagraph"/>
        <w:ind w:left="426" w:hanging="426"/>
        <w:rPr>
          <w:rFonts w:asciiTheme="minorHAnsi" w:hAnsiTheme="minorHAnsi"/>
          <w:lang w:val="en-GB"/>
        </w:rPr>
      </w:pPr>
      <w:r w:rsidRPr="00D25BE7">
        <w:rPr>
          <w:rFonts w:asciiTheme="minorHAnsi" w:hAnsiTheme="minorHAnsi"/>
          <w:lang w:val="en-GB"/>
        </w:rPr>
        <w:t>Whilst the SOEs have a common financial year-end</w:t>
      </w:r>
      <w:r w:rsidR="000E758E">
        <w:rPr>
          <w:rFonts w:asciiTheme="minorHAnsi" w:hAnsiTheme="minorHAnsi"/>
          <w:lang w:val="en-GB"/>
        </w:rPr>
        <w:t xml:space="preserve"> (31</w:t>
      </w:r>
      <w:r w:rsidR="000E758E" w:rsidRPr="00A11CEC">
        <w:rPr>
          <w:rFonts w:asciiTheme="minorHAnsi" w:hAnsiTheme="minorHAnsi"/>
          <w:vertAlign w:val="superscript"/>
          <w:lang w:val="en-GB"/>
        </w:rPr>
        <w:t>st</w:t>
      </w:r>
      <w:r w:rsidR="000E758E">
        <w:rPr>
          <w:rFonts w:asciiTheme="minorHAnsi" w:hAnsiTheme="minorHAnsi"/>
          <w:lang w:val="en-GB"/>
        </w:rPr>
        <w:t xml:space="preserve"> March)</w:t>
      </w:r>
      <w:r w:rsidRPr="00D25BE7">
        <w:rPr>
          <w:rFonts w:asciiTheme="minorHAnsi" w:hAnsiTheme="minorHAnsi"/>
          <w:lang w:val="en-GB"/>
        </w:rPr>
        <w:t>, the other GoL invested companies do not share common reporting dates and thus the analysis</w:t>
      </w:r>
      <w:r w:rsidR="0084140E">
        <w:rPr>
          <w:rFonts w:asciiTheme="minorHAnsi" w:hAnsiTheme="minorHAnsi"/>
          <w:lang w:val="en-GB"/>
        </w:rPr>
        <w:t xml:space="preserve"> </w:t>
      </w:r>
      <w:r w:rsidRPr="00D25BE7">
        <w:rPr>
          <w:rFonts w:asciiTheme="minorHAnsi" w:hAnsiTheme="minorHAnsi"/>
          <w:lang w:val="en-GB"/>
        </w:rPr>
        <w:t>reflect</w:t>
      </w:r>
      <w:r w:rsidR="00641265" w:rsidRPr="00D25BE7">
        <w:rPr>
          <w:rFonts w:asciiTheme="minorHAnsi" w:hAnsiTheme="minorHAnsi"/>
          <w:lang w:val="en-GB"/>
        </w:rPr>
        <w:t>s</w:t>
      </w:r>
      <w:r w:rsidRPr="00D25BE7">
        <w:rPr>
          <w:rFonts w:asciiTheme="minorHAnsi" w:hAnsiTheme="minorHAnsi"/>
          <w:lang w:val="en-GB"/>
        </w:rPr>
        <w:t xml:space="preserve"> the most relevant fiscal periods.</w:t>
      </w:r>
    </w:p>
    <w:p w14:paraId="702D835C" w14:textId="452BA72A" w:rsidR="006F1CC1" w:rsidRPr="00D25BE7" w:rsidRDefault="000275B2" w:rsidP="00B03D78">
      <w:pPr>
        <w:pStyle w:val="ListParagraph"/>
        <w:ind w:left="426" w:hanging="426"/>
        <w:rPr>
          <w:rFonts w:asciiTheme="minorHAnsi" w:hAnsiTheme="minorHAnsi"/>
          <w:lang w:val="en-GB"/>
        </w:rPr>
      </w:pPr>
      <w:r w:rsidRPr="00D25BE7">
        <w:rPr>
          <w:rFonts w:asciiTheme="minorHAnsi" w:hAnsiTheme="minorHAnsi"/>
          <w:lang w:val="en-GB"/>
        </w:rPr>
        <w:t>In Lesotho the</w:t>
      </w:r>
      <w:r w:rsidR="0069050C" w:rsidRPr="00D25BE7">
        <w:rPr>
          <w:rFonts w:asciiTheme="minorHAnsi" w:hAnsiTheme="minorHAnsi"/>
          <w:lang w:val="en-GB"/>
        </w:rPr>
        <w:t xml:space="preserve"> </w:t>
      </w:r>
      <w:r w:rsidR="006F1CC1" w:rsidRPr="00D25BE7">
        <w:rPr>
          <w:rFonts w:asciiTheme="minorHAnsi" w:hAnsiTheme="minorHAnsi"/>
          <w:lang w:val="en-GB"/>
        </w:rPr>
        <w:t>term ‘state-owned enterprise</w:t>
      </w:r>
      <w:r w:rsidR="000E758E">
        <w:rPr>
          <w:rFonts w:asciiTheme="minorHAnsi" w:hAnsiTheme="minorHAnsi"/>
          <w:lang w:val="en-GB"/>
        </w:rPr>
        <w:t>’</w:t>
      </w:r>
      <w:r w:rsidR="006F1CC1" w:rsidRPr="00D25BE7">
        <w:rPr>
          <w:rFonts w:asciiTheme="minorHAnsi" w:hAnsiTheme="minorHAnsi"/>
          <w:lang w:val="en-GB"/>
        </w:rPr>
        <w:t xml:space="preserve"> is not found or defined in </w:t>
      </w:r>
      <w:r w:rsidR="00437511" w:rsidRPr="00D25BE7">
        <w:rPr>
          <w:rFonts w:asciiTheme="minorHAnsi" w:hAnsiTheme="minorHAnsi"/>
          <w:lang w:val="en-GB"/>
        </w:rPr>
        <w:t xml:space="preserve">legislation, but is in common usage within government, the media, the public and the management of the companies themselves, to refer to ‘public enterprises’. The Public Financial Management Accountability Act (PFMAA) </w:t>
      </w:r>
      <w:r w:rsidR="006F1CC1" w:rsidRPr="00D25BE7">
        <w:rPr>
          <w:rFonts w:asciiTheme="minorHAnsi" w:hAnsiTheme="minorHAnsi"/>
          <w:lang w:val="en-GB"/>
        </w:rPr>
        <w:t xml:space="preserve">defines </w:t>
      </w:r>
      <w:r w:rsidR="00DB0E02" w:rsidRPr="00D25BE7">
        <w:rPr>
          <w:rFonts w:asciiTheme="minorHAnsi" w:hAnsiTheme="minorHAnsi"/>
          <w:lang w:val="en-GB"/>
        </w:rPr>
        <w:t xml:space="preserve">a </w:t>
      </w:r>
      <w:r w:rsidR="006F1CC1" w:rsidRPr="00D25BE7">
        <w:rPr>
          <w:rFonts w:asciiTheme="minorHAnsi" w:hAnsiTheme="minorHAnsi"/>
          <w:lang w:val="en-GB"/>
        </w:rPr>
        <w:t xml:space="preserve">public enterprise as an entity </w:t>
      </w:r>
      <w:r w:rsidR="00E06B8F">
        <w:rPr>
          <w:rFonts w:asciiTheme="minorHAnsi" w:hAnsiTheme="minorHAnsi"/>
          <w:lang w:val="en-GB"/>
        </w:rPr>
        <w:t xml:space="preserve">that </w:t>
      </w:r>
      <w:r w:rsidR="006F1CC1" w:rsidRPr="00D25BE7">
        <w:rPr>
          <w:rFonts w:asciiTheme="minorHAnsi" w:hAnsiTheme="minorHAnsi"/>
          <w:lang w:val="en-GB"/>
        </w:rPr>
        <w:t>is (a) established by law to carry out specific commercial activities, (b) is owned and controlled by Government or its agencies; and (c) is a distinct accounting entity producing its own financial statements. A statutory body is similar but is defined as an entity established to carry out specific Government functions.</w:t>
      </w:r>
      <w:r w:rsidR="002E21D0" w:rsidRPr="00D25BE7">
        <w:rPr>
          <w:rFonts w:asciiTheme="minorHAnsi" w:hAnsiTheme="minorHAnsi"/>
          <w:lang w:val="en-GB"/>
        </w:rPr>
        <w:t xml:space="preserve"> </w:t>
      </w:r>
    </w:p>
    <w:p w14:paraId="779313ED" w14:textId="7008F493" w:rsidR="00412823" w:rsidRPr="00D25BE7" w:rsidRDefault="00412823" w:rsidP="00B03D78">
      <w:pPr>
        <w:pStyle w:val="ListParagraph"/>
        <w:ind w:left="426" w:hanging="426"/>
        <w:rPr>
          <w:rFonts w:asciiTheme="minorHAnsi" w:hAnsiTheme="minorHAnsi"/>
          <w:lang w:val="en-GB"/>
        </w:rPr>
      </w:pPr>
      <w:r w:rsidRPr="00D25BE7">
        <w:rPr>
          <w:rFonts w:asciiTheme="minorHAnsi" w:hAnsiTheme="minorHAnsi"/>
          <w:lang w:val="en-GB"/>
        </w:rPr>
        <w:t>In this report ‘SOE’ represents companies that are either 100% owned and controlled by the State and companies in which the State has a controlling interest either directly or indirectly. The other companies included in the report are companies in which the State holds equity of 50% or less.</w:t>
      </w:r>
    </w:p>
    <w:p w14:paraId="7C8EFD3A" w14:textId="42B5FF33" w:rsidR="0069050C" w:rsidRPr="00D25BE7" w:rsidRDefault="006F1CC1" w:rsidP="006F1CC1">
      <w:pPr>
        <w:pStyle w:val="ListParagraph"/>
        <w:ind w:left="426" w:hanging="426"/>
        <w:rPr>
          <w:rFonts w:asciiTheme="minorHAnsi" w:hAnsiTheme="minorHAnsi"/>
          <w:lang w:val="en-GB"/>
        </w:rPr>
      </w:pPr>
      <w:r w:rsidRPr="00D25BE7">
        <w:rPr>
          <w:rFonts w:asciiTheme="minorHAnsi" w:hAnsiTheme="minorHAnsi"/>
          <w:lang w:val="en-GB"/>
        </w:rPr>
        <w:t xml:space="preserve">While there are continuing efforts towards improving the legal framework </w:t>
      </w:r>
      <w:r w:rsidR="00DB0E02" w:rsidRPr="00D25BE7">
        <w:rPr>
          <w:rFonts w:asciiTheme="minorHAnsi" w:hAnsiTheme="minorHAnsi"/>
          <w:lang w:val="en-GB"/>
        </w:rPr>
        <w:t xml:space="preserve">relating to </w:t>
      </w:r>
      <w:r w:rsidRPr="00D25BE7">
        <w:rPr>
          <w:rFonts w:asciiTheme="minorHAnsi" w:hAnsiTheme="minorHAnsi"/>
          <w:lang w:val="en-GB"/>
        </w:rPr>
        <w:t xml:space="preserve">ownership and control of Government investments, </w:t>
      </w:r>
      <w:r w:rsidR="00384EA0" w:rsidRPr="00D25BE7">
        <w:rPr>
          <w:rFonts w:asciiTheme="minorHAnsi" w:hAnsiTheme="minorHAnsi"/>
          <w:lang w:val="en-GB"/>
        </w:rPr>
        <w:t xml:space="preserve">the Private Sector Development </w:t>
      </w:r>
      <w:r w:rsidR="00DB0E02" w:rsidRPr="00D25BE7">
        <w:rPr>
          <w:rFonts w:asciiTheme="minorHAnsi" w:hAnsiTheme="minorHAnsi"/>
          <w:lang w:val="en-GB"/>
        </w:rPr>
        <w:t xml:space="preserve">Department </w:t>
      </w:r>
      <w:r w:rsidR="00384EA0" w:rsidRPr="00D25BE7">
        <w:rPr>
          <w:rFonts w:asciiTheme="minorHAnsi" w:hAnsiTheme="minorHAnsi"/>
          <w:lang w:val="en-GB"/>
        </w:rPr>
        <w:t>(PSD) of Ministry of Finance (</w:t>
      </w:r>
      <w:proofErr w:type="spellStart"/>
      <w:r w:rsidR="00384EA0" w:rsidRPr="00D25BE7">
        <w:rPr>
          <w:rFonts w:asciiTheme="minorHAnsi" w:hAnsiTheme="minorHAnsi"/>
          <w:lang w:val="en-GB"/>
        </w:rPr>
        <w:t>MoF</w:t>
      </w:r>
      <w:proofErr w:type="spellEnd"/>
      <w:r w:rsidR="00384EA0" w:rsidRPr="00D25BE7">
        <w:rPr>
          <w:rFonts w:asciiTheme="minorHAnsi" w:hAnsiTheme="minorHAnsi"/>
          <w:lang w:val="en-GB"/>
        </w:rPr>
        <w:t>)</w:t>
      </w:r>
      <w:r w:rsidR="00B03D78" w:rsidRPr="00D25BE7">
        <w:rPr>
          <w:rFonts w:asciiTheme="minorHAnsi" w:hAnsiTheme="minorHAnsi"/>
          <w:lang w:val="en-GB"/>
        </w:rPr>
        <w:t xml:space="preserve"> currently has </w:t>
      </w:r>
      <w:r w:rsidR="00DB0E02" w:rsidRPr="00D25BE7">
        <w:rPr>
          <w:rFonts w:asciiTheme="minorHAnsi" w:hAnsiTheme="minorHAnsi"/>
          <w:lang w:val="en-GB"/>
        </w:rPr>
        <w:t>a mandate</w:t>
      </w:r>
      <w:r w:rsidR="00B03D78" w:rsidRPr="00D25BE7">
        <w:rPr>
          <w:rFonts w:asciiTheme="minorHAnsi" w:hAnsiTheme="minorHAnsi"/>
          <w:lang w:val="en-GB"/>
        </w:rPr>
        <w:t xml:space="preserve"> to assess and report on the performance of nominated entities</w:t>
      </w:r>
      <w:r w:rsidR="0037533D" w:rsidRPr="00D25BE7">
        <w:rPr>
          <w:rFonts w:asciiTheme="minorHAnsi" w:hAnsiTheme="minorHAnsi"/>
          <w:lang w:val="en-GB"/>
        </w:rPr>
        <w:t xml:space="preserve">; enterprises </w:t>
      </w:r>
      <w:r w:rsidR="00B03D78" w:rsidRPr="00D25BE7">
        <w:rPr>
          <w:rFonts w:asciiTheme="minorHAnsi" w:hAnsiTheme="minorHAnsi"/>
          <w:lang w:val="en-GB"/>
        </w:rPr>
        <w:t>classified as SOEs</w:t>
      </w:r>
      <w:r w:rsidR="0037533D" w:rsidRPr="00D25BE7">
        <w:rPr>
          <w:rFonts w:asciiTheme="minorHAnsi" w:hAnsiTheme="minorHAnsi"/>
          <w:lang w:val="en-GB"/>
        </w:rPr>
        <w:t xml:space="preserve"> and enterprises in which the GoL has a non-controlling equity stake</w:t>
      </w:r>
      <w:r w:rsidR="00B03D78" w:rsidRPr="00D25BE7">
        <w:rPr>
          <w:rFonts w:asciiTheme="minorHAnsi" w:hAnsiTheme="minorHAnsi"/>
          <w:lang w:val="en-GB"/>
        </w:rPr>
        <w:t xml:space="preserve"> The classifications and thus inclusions (and exclusions) </w:t>
      </w:r>
      <w:r w:rsidR="00DB0E02" w:rsidRPr="00D25BE7">
        <w:rPr>
          <w:rFonts w:asciiTheme="minorHAnsi" w:hAnsiTheme="minorHAnsi"/>
          <w:lang w:val="en-GB"/>
        </w:rPr>
        <w:t xml:space="preserve">of individual enterprises </w:t>
      </w:r>
      <w:r w:rsidR="00B03D78" w:rsidRPr="00D25BE7">
        <w:rPr>
          <w:rFonts w:asciiTheme="minorHAnsi" w:hAnsiTheme="minorHAnsi"/>
          <w:lang w:val="en-GB"/>
        </w:rPr>
        <w:t xml:space="preserve">may change over time as efforts are made towards reform of the Government’s ownership portfolio. </w:t>
      </w:r>
    </w:p>
    <w:p w14:paraId="024546CE" w14:textId="59166A60" w:rsidR="00172349" w:rsidRPr="00D25BE7" w:rsidRDefault="002E21D0" w:rsidP="00162814">
      <w:pPr>
        <w:pStyle w:val="ListParagraph"/>
        <w:ind w:left="426" w:hanging="426"/>
        <w:rPr>
          <w:rFonts w:asciiTheme="minorHAnsi" w:hAnsiTheme="minorHAnsi"/>
          <w:lang w:val="en-GB"/>
        </w:rPr>
      </w:pPr>
      <w:r w:rsidRPr="00D25BE7">
        <w:rPr>
          <w:rFonts w:asciiTheme="minorHAnsi" w:hAnsiTheme="minorHAnsi"/>
          <w:lang w:val="en-GB"/>
        </w:rPr>
        <w:t xml:space="preserve">The purpose of this report is to provide an assessment of the performance of SOEs </w:t>
      </w:r>
      <w:r w:rsidR="00DB0E02" w:rsidRPr="00D25BE7">
        <w:rPr>
          <w:rFonts w:asciiTheme="minorHAnsi" w:hAnsiTheme="minorHAnsi"/>
          <w:lang w:val="en-GB"/>
        </w:rPr>
        <w:t>and companies in which GoL has an investment</w:t>
      </w:r>
      <w:r w:rsidR="00EC2083">
        <w:rPr>
          <w:rFonts w:asciiTheme="minorHAnsi" w:hAnsiTheme="minorHAnsi"/>
          <w:lang w:val="en-GB"/>
        </w:rPr>
        <w:t>,</w:t>
      </w:r>
      <w:r w:rsidR="00DB0E02" w:rsidRPr="00D25BE7">
        <w:rPr>
          <w:rFonts w:asciiTheme="minorHAnsi" w:hAnsiTheme="minorHAnsi"/>
          <w:lang w:val="en-GB"/>
        </w:rPr>
        <w:t xml:space="preserve"> </w:t>
      </w:r>
      <w:r w:rsidRPr="00D25BE7">
        <w:rPr>
          <w:rFonts w:asciiTheme="minorHAnsi" w:hAnsiTheme="minorHAnsi"/>
          <w:lang w:val="en-GB"/>
        </w:rPr>
        <w:t>based on monitoring the results of such enterprises</w:t>
      </w:r>
      <w:r w:rsidR="007525DC" w:rsidRPr="00D25BE7">
        <w:rPr>
          <w:rFonts w:asciiTheme="minorHAnsi" w:hAnsiTheme="minorHAnsi"/>
          <w:lang w:val="en-GB"/>
        </w:rPr>
        <w:t xml:space="preserve">, towards </w:t>
      </w:r>
      <w:r w:rsidR="00944C3A" w:rsidRPr="00D25BE7">
        <w:rPr>
          <w:rFonts w:asciiTheme="minorHAnsi" w:hAnsiTheme="minorHAnsi"/>
          <w:lang w:val="en-GB"/>
        </w:rPr>
        <w:t>informing important decisions about the value of relevant investments</w:t>
      </w:r>
      <w:r w:rsidR="00162814" w:rsidRPr="00D25BE7">
        <w:rPr>
          <w:rFonts w:asciiTheme="minorHAnsi" w:hAnsiTheme="minorHAnsi"/>
          <w:lang w:val="en-GB"/>
        </w:rPr>
        <w:t xml:space="preserve">. </w:t>
      </w:r>
      <w:r w:rsidR="00172349" w:rsidRPr="00D25BE7">
        <w:rPr>
          <w:rFonts w:asciiTheme="minorHAnsi" w:hAnsiTheme="minorHAnsi"/>
          <w:lang w:val="en-GB"/>
        </w:rPr>
        <w:t xml:space="preserve">This report concentrates on the ownership role (in these enterprises) of the Government of Lesotho and is primarily evaluating the fiscal implications of ownership, rather than service delivery performance. </w:t>
      </w:r>
      <w:r w:rsidR="0003234A" w:rsidRPr="00D25BE7">
        <w:rPr>
          <w:rFonts w:asciiTheme="minorHAnsi" w:hAnsiTheme="minorHAnsi"/>
          <w:lang w:val="en-GB"/>
        </w:rPr>
        <w:t xml:space="preserve">The portfolio, as defined for the purposes of PSD monitoring and reporting is diverse. </w:t>
      </w:r>
      <w:r w:rsidR="00172349" w:rsidRPr="00D25BE7">
        <w:rPr>
          <w:rFonts w:asciiTheme="minorHAnsi" w:hAnsiTheme="minorHAnsi"/>
          <w:lang w:val="en-GB"/>
        </w:rPr>
        <w:t>It is important to note that financially sound SOEs are a requirement for adequate and sustainable service delivery.</w:t>
      </w:r>
    </w:p>
    <w:p w14:paraId="2680FB9A" w14:textId="019543E7" w:rsidR="00803BA4" w:rsidRPr="00D25BE7" w:rsidRDefault="00040BDC" w:rsidP="00803BA4">
      <w:pPr>
        <w:pStyle w:val="ListParagraph"/>
        <w:ind w:left="426" w:hanging="426"/>
        <w:rPr>
          <w:rFonts w:asciiTheme="minorHAnsi" w:hAnsiTheme="minorHAnsi"/>
          <w:lang w:val="en-GB"/>
        </w:rPr>
      </w:pPr>
      <w:r w:rsidRPr="00D25BE7">
        <w:rPr>
          <w:rFonts w:asciiTheme="minorHAnsi" w:hAnsiTheme="minorHAnsi" w:cs="Arial"/>
          <w:szCs w:val="22"/>
        </w:rPr>
        <w:t>In 2016, the World Bank initiated a study of the Lesotho SOE sector “State-owned enterprises in Lesotho: A country policy note. Report ACS19193, World Bank June 30</w:t>
      </w:r>
      <w:r w:rsidR="000D192C" w:rsidRPr="00D25BE7">
        <w:rPr>
          <w:rFonts w:asciiTheme="minorHAnsi" w:hAnsiTheme="minorHAnsi" w:cs="Arial"/>
          <w:szCs w:val="22"/>
        </w:rPr>
        <w:t>,</w:t>
      </w:r>
      <w:r w:rsidRPr="00D25BE7">
        <w:rPr>
          <w:rFonts w:asciiTheme="minorHAnsi" w:hAnsiTheme="minorHAnsi" w:cs="Arial"/>
          <w:szCs w:val="22"/>
        </w:rPr>
        <w:t xml:space="preserve"> 2016”. </w:t>
      </w:r>
      <w:r w:rsidRPr="00D25BE7">
        <w:rPr>
          <w:rFonts w:asciiTheme="minorHAnsi" w:hAnsiTheme="minorHAnsi"/>
          <w:szCs w:val="22"/>
        </w:rPr>
        <w:t>The report noted that “</w:t>
      </w:r>
      <w:r w:rsidR="00283CBF" w:rsidRPr="00D25BE7">
        <w:rPr>
          <w:rFonts w:asciiTheme="minorHAnsi" w:hAnsiTheme="minorHAnsi"/>
        </w:rPr>
        <w:t xml:space="preserve">SOEs when managed well can create value, perform vital services that are required </w:t>
      </w:r>
      <w:r w:rsidR="00283CBF" w:rsidRPr="00D25BE7">
        <w:rPr>
          <w:rFonts w:asciiTheme="minorHAnsi" w:hAnsiTheme="minorHAnsi"/>
        </w:rPr>
        <w:lastRenderedPageBreak/>
        <w:t>for poverty reduction and shared prosperity that are central to a lower middle-income country</w:t>
      </w:r>
      <w:r w:rsidR="00283CBF" w:rsidRPr="00D25BE7">
        <w:rPr>
          <w:rFonts w:asciiTheme="minorHAnsi" w:hAnsiTheme="minorHAnsi"/>
          <w:b/>
        </w:rPr>
        <w:t xml:space="preserve">. </w:t>
      </w:r>
      <w:r w:rsidR="00283CBF" w:rsidRPr="00D25BE7">
        <w:rPr>
          <w:rFonts w:asciiTheme="minorHAnsi" w:hAnsiTheme="minorHAnsi"/>
        </w:rPr>
        <w:t>However mismanaged SOEs can be a budgetary burden and can cause contingent liabilities. Some SOEs continue to put pressure on the national budget.</w:t>
      </w:r>
      <w:r w:rsidRPr="00D25BE7">
        <w:rPr>
          <w:rFonts w:asciiTheme="minorHAnsi" w:hAnsiTheme="minorHAnsi"/>
        </w:rPr>
        <w:t>”</w:t>
      </w:r>
      <w:r w:rsidR="00283CBF" w:rsidRPr="00D25BE7">
        <w:rPr>
          <w:rFonts w:asciiTheme="minorHAnsi" w:hAnsiTheme="minorHAnsi"/>
        </w:rPr>
        <w:t xml:space="preserve"> </w:t>
      </w:r>
    </w:p>
    <w:p w14:paraId="29F54ABB" w14:textId="059CB97D" w:rsidR="00971632" w:rsidRPr="00D25BE7" w:rsidRDefault="00803BA4" w:rsidP="00803BA4">
      <w:pPr>
        <w:pStyle w:val="ListParagraph"/>
        <w:ind w:left="426" w:hanging="426"/>
        <w:rPr>
          <w:rFonts w:asciiTheme="minorHAnsi" w:hAnsiTheme="minorHAnsi" w:cs="Arial"/>
          <w:szCs w:val="22"/>
          <w:lang w:val="en-GB"/>
        </w:rPr>
      </w:pPr>
      <w:r w:rsidRPr="00D25BE7">
        <w:rPr>
          <w:rFonts w:asciiTheme="minorHAnsi" w:hAnsiTheme="minorHAnsi" w:cs="Arial"/>
          <w:szCs w:val="22"/>
        </w:rPr>
        <w:t>The PFM</w:t>
      </w:r>
      <w:r w:rsidR="00F80E88" w:rsidRPr="00D25BE7">
        <w:rPr>
          <w:rFonts w:asciiTheme="minorHAnsi" w:hAnsiTheme="minorHAnsi" w:cs="Arial"/>
          <w:szCs w:val="22"/>
        </w:rPr>
        <w:t>AA</w:t>
      </w:r>
      <w:r w:rsidRPr="00D25BE7">
        <w:rPr>
          <w:rFonts w:asciiTheme="minorHAnsi" w:hAnsiTheme="minorHAnsi" w:cs="Arial"/>
          <w:szCs w:val="22"/>
        </w:rPr>
        <w:t xml:space="preserve"> lays </w:t>
      </w:r>
      <w:r w:rsidRPr="00D25BE7">
        <w:rPr>
          <w:rFonts w:asciiTheme="minorHAnsi" w:hAnsiTheme="minorHAnsi" w:cs="Arial"/>
          <w:szCs w:val="22"/>
          <w:lang w:val="en-GB"/>
        </w:rPr>
        <w:t xml:space="preserve">down strict financial reporting requirements for SOEs including the use of IFRS and requires the submission of full financial statements on a timely basis to the </w:t>
      </w:r>
      <w:proofErr w:type="spellStart"/>
      <w:r w:rsidRPr="00D25BE7">
        <w:rPr>
          <w:rFonts w:asciiTheme="minorHAnsi" w:hAnsiTheme="minorHAnsi" w:cs="Arial"/>
          <w:szCs w:val="22"/>
          <w:lang w:val="en-GB"/>
        </w:rPr>
        <w:t>MoF</w:t>
      </w:r>
      <w:proofErr w:type="spellEnd"/>
      <w:r w:rsidRPr="00D25BE7">
        <w:rPr>
          <w:rFonts w:asciiTheme="minorHAnsi" w:hAnsiTheme="minorHAnsi" w:cs="Arial"/>
          <w:szCs w:val="22"/>
          <w:lang w:val="en-GB"/>
        </w:rPr>
        <w:t>.  Sector specific legislation regulates SOEs operating in the mining and financial sectors and in line with good international practice there are independent regulators for the water, power and telecoms sectors.</w:t>
      </w:r>
    </w:p>
    <w:p w14:paraId="56CAFA0C" w14:textId="6E8A704A" w:rsidR="0039019C" w:rsidRPr="00D25BE7" w:rsidRDefault="00EC17EC" w:rsidP="00971632">
      <w:pPr>
        <w:pStyle w:val="ListParagraph"/>
        <w:ind w:left="426" w:hanging="426"/>
        <w:rPr>
          <w:rFonts w:asciiTheme="minorHAnsi" w:hAnsiTheme="minorHAnsi"/>
          <w:lang w:val="en-GB"/>
        </w:rPr>
      </w:pPr>
      <w:r w:rsidRPr="00D25BE7">
        <w:rPr>
          <w:rFonts w:asciiTheme="minorHAnsi" w:hAnsiTheme="minorHAnsi"/>
          <w:lang w:val="en-GB"/>
        </w:rPr>
        <w:t xml:space="preserve">Ultimately, the aim of SOE </w:t>
      </w:r>
      <w:r w:rsidR="00EC2083">
        <w:rPr>
          <w:rFonts w:asciiTheme="minorHAnsi" w:hAnsiTheme="minorHAnsi"/>
          <w:lang w:val="en-GB"/>
        </w:rPr>
        <w:t xml:space="preserve">performance </w:t>
      </w:r>
      <w:r w:rsidRPr="00D25BE7">
        <w:rPr>
          <w:rFonts w:asciiTheme="minorHAnsi" w:hAnsiTheme="minorHAnsi"/>
          <w:lang w:val="en-GB"/>
        </w:rPr>
        <w:t xml:space="preserve">monitoring </w:t>
      </w:r>
      <w:r w:rsidR="00EC2083">
        <w:rPr>
          <w:rFonts w:asciiTheme="minorHAnsi" w:hAnsiTheme="minorHAnsi"/>
          <w:lang w:val="en-GB"/>
        </w:rPr>
        <w:t xml:space="preserve">and evaluation </w:t>
      </w:r>
      <w:r w:rsidRPr="00D25BE7">
        <w:rPr>
          <w:rFonts w:asciiTheme="minorHAnsi" w:hAnsiTheme="minorHAnsi"/>
          <w:lang w:val="en-GB"/>
        </w:rPr>
        <w:t xml:space="preserve">is to </w:t>
      </w:r>
      <w:r w:rsidR="00036FB3" w:rsidRPr="00D25BE7">
        <w:rPr>
          <w:rFonts w:asciiTheme="minorHAnsi" w:hAnsiTheme="minorHAnsi"/>
          <w:lang w:val="en-GB"/>
        </w:rPr>
        <w:t xml:space="preserve">support the achievement of </w:t>
      </w:r>
      <w:r w:rsidRPr="00D25BE7">
        <w:rPr>
          <w:rFonts w:asciiTheme="minorHAnsi" w:hAnsiTheme="minorHAnsi"/>
          <w:lang w:val="en-GB"/>
        </w:rPr>
        <w:t>a level of SOE performance that is satisfactory to relevant stakeholders, but mostly to government as enterprise owners</w:t>
      </w:r>
      <w:r w:rsidR="00BB41A2" w:rsidRPr="00D25BE7">
        <w:rPr>
          <w:rFonts w:asciiTheme="minorHAnsi" w:hAnsiTheme="minorHAnsi"/>
          <w:lang w:val="en-GB"/>
        </w:rPr>
        <w:t>.</w:t>
      </w:r>
      <w:r w:rsidRPr="00D25BE7">
        <w:rPr>
          <w:rFonts w:asciiTheme="minorHAnsi" w:hAnsiTheme="minorHAnsi"/>
          <w:lang w:val="en-GB"/>
        </w:rPr>
        <w:t xml:space="preserve"> </w:t>
      </w:r>
      <w:r w:rsidR="00BB41A2" w:rsidRPr="00D25BE7">
        <w:rPr>
          <w:rFonts w:asciiTheme="minorHAnsi" w:hAnsiTheme="minorHAnsi"/>
          <w:lang w:val="en-GB"/>
        </w:rPr>
        <w:t>T</w:t>
      </w:r>
      <w:r w:rsidRPr="00D25BE7">
        <w:rPr>
          <w:rFonts w:asciiTheme="minorHAnsi" w:hAnsiTheme="minorHAnsi"/>
          <w:lang w:val="en-GB"/>
        </w:rPr>
        <w:t xml:space="preserve">his involves understanding performance based on returns, services, social obligations and community expectations and thus to inform policy so that the different objectives of SOE ownership can best be satisfied. </w:t>
      </w:r>
    </w:p>
    <w:p w14:paraId="2D095797" w14:textId="1C3A03CF" w:rsidR="00832527" w:rsidRPr="00D25BE7" w:rsidRDefault="00FE5F1C" w:rsidP="00522CEE">
      <w:pPr>
        <w:pStyle w:val="ListParagraph"/>
        <w:ind w:left="426" w:hanging="426"/>
        <w:rPr>
          <w:rFonts w:asciiTheme="minorHAnsi" w:hAnsiTheme="minorHAnsi"/>
          <w:lang w:val="en-GB"/>
        </w:rPr>
      </w:pPr>
      <w:r w:rsidRPr="00D25BE7">
        <w:rPr>
          <w:rFonts w:asciiTheme="minorHAnsi" w:hAnsiTheme="minorHAnsi"/>
          <w:lang w:val="en-GB"/>
        </w:rPr>
        <w:t>As</w:t>
      </w:r>
      <w:r w:rsidR="00832527" w:rsidRPr="00D25BE7">
        <w:rPr>
          <w:rFonts w:asciiTheme="minorHAnsi" w:hAnsiTheme="minorHAnsi"/>
          <w:lang w:val="en-GB"/>
        </w:rPr>
        <w:t xml:space="preserve"> a full or partial owner, under the various relevant laws of Lesotho, Government is entitled to access to relevant information, including, but not limited to, the Annual Report and the audited financial statements</w:t>
      </w:r>
      <w:r w:rsidR="0030444B" w:rsidRPr="00D25BE7">
        <w:rPr>
          <w:rFonts w:asciiTheme="minorHAnsi" w:hAnsiTheme="minorHAnsi"/>
          <w:lang w:val="en-GB"/>
        </w:rPr>
        <w:t xml:space="preserve"> of its SOEs and invested enterprises</w:t>
      </w:r>
      <w:r w:rsidR="00832527" w:rsidRPr="00021249">
        <w:rPr>
          <w:rFonts w:asciiTheme="minorHAnsi" w:hAnsiTheme="minorHAnsi"/>
          <w:lang w:val="en-GB"/>
        </w:rPr>
        <w:t xml:space="preserve">. </w:t>
      </w:r>
      <w:r w:rsidR="0030444B" w:rsidRPr="00A11CEC">
        <w:rPr>
          <w:rFonts w:asciiTheme="minorHAnsi" w:hAnsiTheme="minorHAnsi"/>
          <w:lang w:val="en-GB"/>
        </w:rPr>
        <w:t xml:space="preserve">The </w:t>
      </w:r>
      <w:r w:rsidR="00832527" w:rsidRPr="00A11CEC">
        <w:rPr>
          <w:rFonts w:asciiTheme="minorHAnsi" w:hAnsiTheme="minorHAnsi"/>
          <w:lang w:val="en-GB"/>
        </w:rPr>
        <w:t xml:space="preserve">PSD </w:t>
      </w:r>
      <w:r w:rsidR="00BB41A2" w:rsidRPr="00021249">
        <w:rPr>
          <w:rFonts w:asciiTheme="minorHAnsi" w:hAnsiTheme="minorHAnsi"/>
          <w:lang w:val="en-GB"/>
        </w:rPr>
        <w:t>is</w:t>
      </w:r>
      <w:r w:rsidR="00BB41A2" w:rsidRPr="00D25BE7">
        <w:rPr>
          <w:rFonts w:asciiTheme="minorHAnsi" w:hAnsiTheme="minorHAnsi"/>
          <w:lang w:val="en-GB"/>
        </w:rPr>
        <w:t xml:space="preserve"> mandated to</w:t>
      </w:r>
      <w:r w:rsidR="00832527" w:rsidRPr="00D25BE7">
        <w:rPr>
          <w:rFonts w:asciiTheme="minorHAnsi" w:hAnsiTheme="minorHAnsi"/>
          <w:lang w:val="en-GB"/>
        </w:rPr>
        <w:t xml:space="preserve"> monitor </w:t>
      </w:r>
      <w:r w:rsidR="00021249">
        <w:rPr>
          <w:rFonts w:asciiTheme="minorHAnsi" w:hAnsiTheme="minorHAnsi"/>
          <w:lang w:val="en-GB"/>
        </w:rPr>
        <w:t xml:space="preserve">and evaluate </w:t>
      </w:r>
      <w:r w:rsidR="00832527" w:rsidRPr="00D25BE7">
        <w:rPr>
          <w:rFonts w:asciiTheme="minorHAnsi" w:hAnsiTheme="minorHAnsi"/>
          <w:lang w:val="en-GB"/>
        </w:rPr>
        <w:t xml:space="preserve">performance, primarily based on these documents. </w:t>
      </w:r>
      <w:r w:rsidR="00AF7F74" w:rsidRPr="00D25BE7">
        <w:rPr>
          <w:rFonts w:asciiTheme="minorHAnsi" w:hAnsiTheme="minorHAnsi"/>
          <w:lang w:val="en-GB"/>
        </w:rPr>
        <w:t>A</w:t>
      </w:r>
      <w:r w:rsidR="00832527" w:rsidRPr="00D25BE7">
        <w:rPr>
          <w:rFonts w:asciiTheme="minorHAnsi" w:hAnsiTheme="minorHAnsi"/>
          <w:lang w:val="en-GB"/>
        </w:rPr>
        <w:t xml:space="preserve">dditional information, including, but not limited to, </w:t>
      </w:r>
      <w:r w:rsidR="00433D39" w:rsidRPr="00D25BE7">
        <w:rPr>
          <w:rFonts w:asciiTheme="minorHAnsi" w:hAnsiTheme="minorHAnsi"/>
          <w:lang w:val="en-GB"/>
        </w:rPr>
        <w:t xml:space="preserve">SOE </w:t>
      </w:r>
      <w:r w:rsidR="0030444B" w:rsidRPr="00D25BE7">
        <w:rPr>
          <w:rFonts w:asciiTheme="minorHAnsi" w:hAnsiTheme="minorHAnsi"/>
          <w:lang w:val="en-GB"/>
        </w:rPr>
        <w:t xml:space="preserve">corporate / strategic / </w:t>
      </w:r>
      <w:r w:rsidR="00832527" w:rsidRPr="00D25BE7">
        <w:rPr>
          <w:rFonts w:asciiTheme="minorHAnsi" w:hAnsiTheme="minorHAnsi"/>
          <w:lang w:val="en-GB"/>
        </w:rPr>
        <w:t xml:space="preserve">business plans, investment and feasibility studies, </w:t>
      </w:r>
      <w:r w:rsidR="00887CA5" w:rsidRPr="00D25BE7">
        <w:rPr>
          <w:rFonts w:asciiTheme="minorHAnsi" w:hAnsiTheme="minorHAnsi"/>
          <w:lang w:val="en-GB"/>
        </w:rPr>
        <w:t>and other information will enhance any assessment</w:t>
      </w:r>
      <w:r w:rsidR="0030444B" w:rsidRPr="00D25BE7">
        <w:rPr>
          <w:rFonts w:asciiTheme="minorHAnsi" w:hAnsiTheme="minorHAnsi"/>
          <w:lang w:val="en-GB"/>
        </w:rPr>
        <w:t>.</w:t>
      </w:r>
      <w:r w:rsidR="00887CA5" w:rsidRPr="00D25BE7">
        <w:rPr>
          <w:rFonts w:asciiTheme="minorHAnsi" w:hAnsiTheme="minorHAnsi"/>
          <w:lang w:val="en-GB"/>
        </w:rPr>
        <w:t xml:space="preserve"> </w:t>
      </w:r>
      <w:r w:rsidR="0030444B" w:rsidRPr="00D25BE7">
        <w:rPr>
          <w:rFonts w:asciiTheme="minorHAnsi" w:hAnsiTheme="minorHAnsi"/>
          <w:lang w:val="en-GB"/>
        </w:rPr>
        <w:t xml:space="preserve">It </w:t>
      </w:r>
      <w:r w:rsidR="00887CA5" w:rsidRPr="00D25BE7">
        <w:rPr>
          <w:rFonts w:asciiTheme="minorHAnsi" w:hAnsiTheme="minorHAnsi"/>
          <w:lang w:val="en-GB"/>
        </w:rPr>
        <w:t>is</w:t>
      </w:r>
      <w:r w:rsidR="00AF7F74" w:rsidRPr="00D25BE7">
        <w:rPr>
          <w:rFonts w:asciiTheme="minorHAnsi" w:hAnsiTheme="minorHAnsi"/>
          <w:lang w:val="en-GB"/>
        </w:rPr>
        <w:t xml:space="preserve">, however, </w:t>
      </w:r>
      <w:r w:rsidR="00887CA5" w:rsidRPr="00D25BE7">
        <w:rPr>
          <w:rFonts w:asciiTheme="minorHAnsi" w:hAnsiTheme="minorHAnsi"/>
          <w:lang w:val="en-GB"/>
        </w:rPr>
        <w:t xml:space="preserve">an on-going initiative for PSD to acquire </w:t>
      </w:r>
      <w:r w:rsidR="00021249">
        <w:rPr>
          <w:rFonts w:asciiTheme="minorHAnsi" w:hAnsiTheme="minorHAnsi"/>
          <w:lang w:val="en-GB"/>
        </w:rPr>
        <w:t xml:space="preserve">accurate up-to-date </w:t>
      </w:r>
      <w:r w:rsidR="00887CA5" w:rsidRPr="00D25BE7">
        <w:rPr>
          <w:rFonts w:asciiTheme="minorHAnsi" w:hAnsiTheme="minorHAnsi"/>
          <w:lang w:val="en-GB"/>
        </w:rPr>
        <w:t>information</w:t>
      </w:r>
      <w:r w:rsidR="00021249">
        <w:rPr>
          <w:rFonts w:asciiTheme="minorHAnsi" w:hAnsiTheme="minorHAnsi"/>
          <w:lang w:val="en-GB"/>
        </w:rPr>
        <w:t>;</w:t>
      </w:r>
      <w:r w:rsidR="00887CA5" w:rsidRPr="00D25BE7">
        <w:rPr>
          <w:rFonts w:asciiTheme="minorHAnsi" w:hAnsiTheme="minorHAnsi"/>
          <w:lang w:val="en-GB"/>
        </w:rPr>
        <w:t xml:space="preserve"> to </w:t>
      </w:r>
      <w:r w:rsidR="00BA3F3D" w:rsidRPr="00D25BE7">
        <w:rPr>
          <w:rFonts w:asciiTheme="minorHAnsi" w:hAnsiTheme="minorHAnsi"/>
          <w:lang w:val="en-GB"/>
        </w:rPr>
        <w:t>access and review</w:t>
      </w:r>
      <w:r w:rsidR="00887CA5" w:rsidRPr="00D25BE7">
        <w:rPr>
          <w:rFonts w:asciiTheme="minorHAnsi" w:hAnsiTheme="minorHAnsi"/>
          <w:lang w:val="en-GB"/>
        </w:rPr>
        <w:t xml:space="preserve"> public information</w:t>
      </w:r>
      <w:r w:rsidR="00021249">
        <w:rPr>
          <w:rFonts w:asciiTheme="minorHAnsi" w:hAnsiTheme="minorHAnsi"/>
          <w:lang w:val="en-GB"/>
        </w:rPr>
        <w:t>;</w:t>
      </w:r>
      <w:r w:rsidR="00887CA5" w:rsidRPr="00D25BE7">
        <w:rPr>
          <w:rFonts w:asciiTheme="minorHAnsi" w:hAnsiTheme="minorHAnsi"/>
          <w:lang w:val="en-GB"/>
        </w:rPr>
        <w:t xml:space="preserve"> and to ensure that it develops </w:t>
      </w:r>
      <w:r w:rsidR="00443BA0" w:rsidRPr="00D25BE7">
        <w:rPr>
          <w:rFonts w:asciiTheme="minorHAnsi" w:hAnsiTheme="minorHAnsi"/>
          <w:lang w:val="en-GB"/>
        </w:rPr>
        <w:t xml:space="preserve">internal </w:t>
      </w:r>
      <w:r w:rsidR="00887CA5" w:rsidRPr="00D25BE7">
        <w:rPr>
          <w:rFonts w:asciiTheme="minorHAnsi" w:hAnsiTheme="minorHAnsi"/>
          <w:lang w:val="en-GB"/>
        </w:rPr>
        <w:t xml:space="preserve">capacity to update, analyse and </w:t>
      </w:r>
      <w:r w:rsidR="00BA3F3D" w:rsidRPr="00D25BE7">
        <w:rPr>
          <w:rFonts w:asciiTheme="minorHAnsi" w:hAnsiTheme="minorHAnsi"/>
          <w:lang w:val="en-GB"/>
        </w:rPr>
        <w:t xml:space="preserve">assess </w:t>
      </w:r>
      <w:r w:rsidR="00A45453" w:rsidRPr="00D25BE7">
        <w:rPr>
          <w:rFonts w:asciiTheme="minorHAnsi" w:hAnsiTheme="minorHAnsi"/>
          <w:lang w:val="en-GB"/>
        </w:rPr>
        <w:t xml:space="preserve">enterprise performance </w:t>
      </w:r>
      <w:r w:rsidR="00BA3F3D" w:rsidRPr="00D25BE7">
        <w:rPr>
          <w:rFonts w:asciiTheme="minorHAnsi" w:hAnsiTheme="minorHAnsi"/>
          <w:lang w:val="en-GB"/>
        </w:rPr>
        <w:t xml:space="preserve">based on </w:t>
      </w:r>
      <w:r w:rsidR="00CE3446" w:rsidRPr="00D25BE7">
        <w:rPr>
          <w:rFonts w:asciiTheme="minorHAnsi" w:hAnsiTheme="minorHAnsi"/>
          <w:lang w:val="en-GB"/>
        </w:rPr>
        <w:t>relevant, timely and accurate</w:t>
      </w:r>
      <w:r w:rsidR="00BA3F3D" w:rsidRPr="00D25BE7">
        <w:rPr>
          <w:rFonts w:asciiTheme="minorHAnsi" w:hAnsiTheme="minorHAnsi"/>
          <w:lang w:val="en-GB"/>
        </w:rPr>
        <w:t xml:space="preserve"> information.</w:t>
      </w:r>
    </w:p>
    <w:p w14:paraId="5A71FE2A" w14:textId="07158314" w:rsidR="00BA3F3D" w:rsidRPr="00D25BE7" w:rsidRDefault="00554452" w:rsidP="00522CEE">
      <w:pPr>
        <w:pStyle w:val="ListParagraph"/>
        <w:ind w:left="426" w:hanging="426"/>
        <w:rPr>
          <w:rFonts w:asciiTheme="minorHAnsi" w:hAnsiTheme="minorHAnsi"/>
          <w:lang w:val="en-GB"/>
        </w:rPr>
      </w:pPr>
      <w:r w:rsidRPr="00D25BE7">
        <w:rPr>
          <w:rFonts w:asciiTheme="minorHAnsi" w:hAnsiTheme="minorHAnsi"/>
          <w:lang w:val="en-GB"/>
        </w:rPr>
        <w:t>The PSD has a wide remit in the monitoring of private sector development and in support of development initiatives. This Report is not intended as an overview or summary of PSD’s outputs, rather</w:t>
      </w:r>
      <w:r w:rsidR="00B514F1" w:rsidRPr="00D25BE7">
        <w:rPr>
          <w:rFonts w:asciiTheme="minorHAnsi" w:hAnsiTheme="minorHAnsi"/>
          <w:lang w:val="en-GB"/>
        </w:rPr>
        <w:t>,</w:t>
      </w:r>
      <w:r w:rsidRPr="00D25BE7">
        <w:rPr>
          <w:rFonts w:asciiTheme="minorHAnsi" w:hAnsiTheme="minorHAnsi"/>
          <w:lang w:val="en-GB"/>
        </w:rPr>
        <w:t xml:space="preserve"> it is an assessment of the performance of selected enterprises, </w:t>
      </w:r>
      <w:r w:rsidR="00B514F1" w:rsidRPr="00D25BE7">
        <w:rPr>
          <w:rFonts w:asciiTheme="minorHAnsi" w:hAnsiTheme="minorHAnsi"/>
          <w:lang w:val="en-GB"/>
        </w:rPr>
        <w:t xml:space="preserve">and aims to provide </w:t>
      </w:r>
      <w:r w:rsidR="0030444B" w:rsidRPr="00D25BE7">
        <w:rPr>
          <w:rFonts w:asciiTheme="minorHAnsi" w:hAnsiTheme="minorHAnsi"/>
          <w:lang w:val="en-GB"/>
        </w:rPr>
        <w:t xml:space="preserve">valuable </w:t>
      </w:r>
      <w:r w:rsidR="00B514F1" w:rsidRPr="00D25BE7">
        <w:rPr>
          <w:rFonts w:asciiTheme="minorHAnsi" w:hAnsiTheme="minorHAnsi"/>
          <w:lang w:val="en-GB"/>
        </w:rPr>
        <w:t>input into the broader debate concerning government investments, fiscal risk and value of resource allocations.</w:t>
      </w:r>
    </w:p>
    <w:p w14:paraId="22E76C3A" w14:textId="5F525055" w:rsidR="004B66D6" w:rsidRPr="00A11CEC" w:rsidRDefault="004B66D6" w:rsidP="004B66D6">
      <w:pPr>
        <w:pStyle w:val="Heading1"/>
        <w:rPr>
          <w:rFonts w:asciiTheme="minorHAnsi" w:hAnsiTheme="minorHAnsi"/>
        </w:rPr>
      </w:pPr>
      <w:bookmarkStart w:id="4" w:name="_Toc455467799"/>
      <w:r w:rsidRPr="00A11CEC">
        <w:rPr>
          <w:rFonts w:asciiTheme="minorHAnsi" w:hAnsiTheme="minorHAnsi"/>
        </w:rPr>
        <w:t>THE PORTFOLIO</w:t>
      </w:r>
      <w:bookmarkEnd w:id="4"/>
    </w:p>
    <w:p w14:paraId="1A3B21BF" w14:textId="37041901" w:rsidR="004B66D6" w:rsidRPr="00D25BE7" w:rsidRDefault="00021249" w:rsidP="004B66D6">
      <w:pPr>
        <w:pStyle w:val="ListParagraph"/>
        <w:ind w:left="426" w:hanging="426"/>
        <w:rPr>
          <w:rFonts w:asciiTheme="minorHAnsi" w:hAnsiTheme="minorHAnsi"/>
          <w:lang w:val="en-GB"/>
        </w:rPr>
      </w:pPr>
      <w:r>
        <w:rPr>
          <w:rFonts w:asciiTheme="minorHAnsi" w:hAnsiTheme="minorHAnsi"/>
          <w:lang w:val="en-GB"/>
        </w:rPr>
        <w:t>T</w:t>
      </w:r>
      <w:r w:rsidR="004035D4" w:rsidRPr="00D25BE7">
        <w:rPr>
          <w:rFonts w:asciiTheme="minorHAnsi" w:hAnsiTheme="minorHAnsi"/>
          <w:lang w:val="en-GB"/>
        </w:rPr>
        <w:t>his report is focused on a select group of enterprises in which the Government either directly or indirectly has an ownership interest.</w:t>
      </w:r>
      <w:r>
        <w:rPr>
          <w:rFonts w:asciiTheme="minorHAnsi" w:hAnsiTheme="minorHAnsi"/>
          <w:lang w:val="en-GB"/>
        </w:rPr>
        <w:t xml:space="preserve"> </w:t>
      </w:r>
      <w:r w:rsidR="004035D4" w:rsidRPr="00D25BE7">
        <w:rPr>
          <w:rFonts w:asciiTheme="minorHAnsi" w:hAnsiTheme="minorHAnsi"/>
          <w:lang w:val="en-GB"/>
        </w:rPr>
        <w:t>Legal review</w:t>
      </w:r>
      <w:r w:rsidR="004035D4" w:rsidRPr="00D25BE7">
        <w:rPr>
          <w:rStyle w:val="FootnoteReference"/>
          <w:rFonts w:asciiTheme="minorHAnsi" w:hAnsiTheme="minorHAnsi"/>
          <w:lang w:val="en-GB"/>
        </w:rPr>
        <w:footnoteReference w:id="1"/>
      </w:r>
      <w:r w:rsidR="004035D4" w:rsidRPr="00D25BE7">
        <w:rPr>
          <w:rFonts w:asciiTheme="minorHAnsi" w:hAnsiTheme="minorHAnsi"/>
          <w:lang w:val="en-GB"/>
        </w:rPr>
        <w:t xml:space="preserve"> suggests there is sufficiency of legal framework to more adequately classify government ownership and interests. However, in the absence of a specific State-owned enterprise law, that indicates to which enterprises it applies, there is no absolutely correct (or incorrect) determination of which enterprises should be included.  </w:t>
      </w:r>
      <w:r w:rsidR="004035D4" w:rsidRPr="00D25BE7">
        <w:rPr>
          <w:rFonts w:asciiTheme="minorHAnsi" w:hAnsiTheme="minorHAnsi"/>
          <w:lang w:val="en-GB"/>
        </w:rPr>
        <w:tab/>
      </w:r>
    </w:p>
    <w:p w14:paraId="0DBA6175" w14:textId="75074C18" w:rsidR="00E51031" w:rsidRPr="00D25BE7" w:rsidRDefault="00E51031" w:rsidP="00E51031">
      <w:pPr>
        <w:pStyle w:val="ListParagraph"/>
        <w:ind w:left="426" w:hanging="426"/>
        <w:rPr>
          <w:rFonts w:asciiTheme="minorHAnsi" w:hAnsiTheme="minorHAnsi"/>
          <w:lang w:val="en-GB"/>
        </w:rPr>
      </w:pPr>
      <w:r w:rsidRPr="00D25BE7">
        <w:rPr>
          <w:rFonts w:asciiTheme="minorHAnsi" w:hAnsiTheme="minorHAnsi"/>
          <w:lang w:val="en-GB"/>
        </w:rPr>
        <w:t xml:space="preserve">Relevant to this report there remain six wholly-owned SOEs, nine partial Government shareholdings in private companies and five companies in which the Lesotho National Development Corporation (LNDC), an SOE itself under the Ministry of Trade, holds mostly </w:t>
      </w:r>
      <w:r w:rsidRPr="00D25BE7">
        <w:rPr>
          <w:rFonts w:asciiTheme="minorHAnsi" w:hAnsiTheme="minorHAnsi"/>
          <w:lang w:val="en-GB"/>
        </w:rPr>
        <w:lastRenderedPageBreak/>
        <w:t>minority shares, but together with Government holdings, controlling influence can be exercised.</w:t>
      </w:r>
    </w:p>
    <w:p w14:paraId="11310470" w14:textId="3CBF3A76" w:rsidR="00AC5391" w:rsidRPr="00D25BE7" w:rsidRDefault="00757DAE" w:rsidP="00AC5391">
      <w:pPr>
        <w:pStyle w:val="ListParagraph"/>
        <w:ind w:left="426" w:hanging="426"/>
        <w:rPr>
          <w:rFonts w:asciiTheme="minorHAnsi" w:hAnsiTheme="minorHAnsi"/>
          <w:lang w:val="en-GB"/>
        </w:rPr>
      </w:pPr>
      <w:r w:rsidRPr="00D25BE7">
        <w:rPr>
          <w:rFonts w:asciiTheme="minorHAnsi" w:hAnsiTheme="minorHAnsi" w:cs="Arial"/>
          <w:szCs w:val="22"/>
          <w:lang w:val="en-GB"/>
        </w:rPr>
        <w:t xml:space="preserve">The portfolio is therefore analysed </w:t>
      </w:r>
      <w:r w:rsidR="00D75FE5">
        <w:rPr>
          <w:rFonts w:asciiTheme="minorHAnsi" w:hAnsiTheme="minorHAnsi" w:cs="Arial"/>
          <w:szCs w:val="22"/>
          <w:lang w:val="en-GB"/>
        </w:rPr>
        <w:t xml:space="preserve">by individual companies as well as </w:t>
      </w:r>
      <w:r w:rsidRPr="00D25BE7">
        <w:rPr>
          <w:rFonts w:asciiTheme="minorHAnsi" w:hAnsiTheme="minorHAnsi"/>
          <w:lang w:val="en-GB"/>
        </w:rPr>
        <w:t xml:space="preserve">by </w:t>
      </w:r>
      <w:r w:rsidR="00270CC7" w:rsidRPr="00D25BE7">
        <w:rPr>
          <w:rFonts w:asciiTheme="minorHAnsi" w:hAnsiTheme="minorHAnsi"/>
          <w:lang w:val="en-GB"/>
        </w:rPr>
        <w:t xml:space="preserve">three </w:t>
      </w:r>
      <w:r w:rsidR="00AC5391" w:rsidRPr="00D25BE7">
        <w:rPr>
          <w:rFonts w:asciiTheme="minorHAnsi" w:hAnsiTheme="minorHAnsi"/>
          <w:lang w:val="en-GB"/>
        </w:rPr>
        <w:t>key groupings:</w:t>
      </w:r>
    </w:p>
    <w:p w14:paraId="2083F569" w14:textId="77777777" w:rsidR="00AC5391" w:rsidRPr="00A11CEC" w:rsidRDefault="00AC5391" w:rsidP="00A11CEC">
      <w:pPr>
        <w:pStyle w:val="ListParagraph"/>
        <w:numPr>
          <w:ilvl w:val="0"/>
          <w:numId w:val="34"/>
        </w:numPr>
        <w:tabs>
          <w:tab w:val="left" w:pos="4962"/>
        </w:tabs>
        <w:spacing w:after="0"/>
        <w:ind w:left="924" w:hanging="357"/>
        <w:rPr>
          <w:rFonts w:asciiTheme="minorHAnsi" w:hAnsiTheme="minorHAnsi"/>
          <w:lang w:val="en-GB"/>
        </w:rPr>
      </w:pPr>
      <w:r w:rsidRPr="00A11CEC">
        <w:rPr>
          <w:rFonts w:asciiTheme="minorHAnsi" w:hAnsiTheme="minorHAnsi"/>
          <w:lang w:val="en-GB"/>
        </w:rPr>
        <w:t>SOEs with 100% Government ownership</w:t>
      </w:r>
    </w:p>
    <w:p w14:paraId="016A83E2" w14:textId="77777777" w:rsidR="00AC5391" w:rsidRPr="00A11CEC" w:rsidRDefault="00AC5391" w:rsidP="00A11CEC">
      <w:pPr>
        <w:pStyle w:val="ListParagraph"/>
        <w:numPr>
          <w:ilvl w:val="0"/>
          <w:numId w:val="34"/>
        </w:numPr>
        <w:tabs>
          <w:tab w:val="left" w:pos="4962"/>
        </w:tabs>
        <w:spacing w:after="0"/>
        <w:ind w:left="924" w:hanging="357"/>
        <w:rPr>
          <w:rFonts w:asciiTheme="minorHAnsi" w:hAnsiTheme="minorHAnsi"/>
          <w:lang w:val="en-GB"/>
        </w:rPr>
      </w:pPr>
      <w:r w:rsidRPr="00A11CEC">
        <w:rPr>
          <w:rFonts w:asciiTheme="minorHAnsi" w:hAnsiTheme="minorHAnsi"/>
          <w:lang w:val="en-GB"/>
        </w:rPr>
        <w:t>SOEs under LNDC but overall Government control</w:t>
      </w:r>
    </w:p>
    <w:p w14:paraId="11321380" w14:textId="28FA271E" w:rsidR="00BC3D69" w:rsidRPr="00A11CEC" w:rsidRDefault="00AC5391" w:rsidP="00A11CEC">
      <w:pPr>
        <w:pStyle w:val="ListParagraph"/>
        <w:numPr>
          <w:ilvl w:val="0"/>
          <w:numId w:val="34"/>
        </w:numPr>
        <w:tabs>
          <w:tab w:val="left" w:pos="4962"/>
        </w:tabs>
        <w:spacing w:after="0"/>
        <w:ind w:left="924" w:hanging="357"/>
        <w:rPr>
          <w:rFonts w:asciiTheme="minorHAnsi" w:hAnsiTheme="minorHAnsi"/>
          <w:lang w:val="en-GB"/>
        </w:rPr>
      </w:pPr>
      <w:r w:rsidRPr="00A11CEC">
        <w:rPr>
          <w:rFonts w:asciiTheme="minorHAnsi" w:hAnsiTheme="minorHAnsi"/>
          <w:lang w:val="en-GB"/>
        </w:rPr>
        <w:t>Government minority holdings</w:t>
      </w:r>
      <w:r w:rsidR="00AD6F8A" w:rsidRPr="00A11CEC">
        <w:rPr>
          <w:rFonts w:asciiTheme="minorHAnsi" w:hAnsiTheme="minorHAnsi"/>
          <w:lang w:val="en-GB"/>
        </w:rPr>
        <w:t xml:space="preserve"> (ranging from 49% down to 5% equity).</w:t>
      </w:r>
    </w:p>
    <w:p w14:paraId="5864FAE5" w14:textId="34F9FEE8" w:rsidR="00BC3D69" w:rsidRPr="00D25BE7" w:rsidRDefault="00BC3D69" w:rsidP="00BC3D69">
      <w:pPr>
        <w:pStyle w:val="ListParagraph"/>
        <w:numPr>
          <w:ilvl w:val="0"/>
          <w:numId w:val="0"/>
        </w:numPr>
        <w:tabs>
          <w:tab w:val="left" w:pos="4962"/>
        </w:tabs>
        <w:spacing w:after="0" w:line="240" w:lineRule="auto"/>
        <w:ind w:left="1145"/>
        <w:rPr>
          <w:rFonts w:asciiTheme="minorHAnsi" w:hAnsiTheme="minorHAnsi"/>
          <w:lang w:val="en-GB"/>
        </w:rPr>
      </w:pPr>
    </w:p>
    <w:p w14:paraId="4886C80F" w14:textId="02DFC76A" w:rsidR="00BC3D69" w:rsidRPr="00D25BE7" w:rsidRDefault="00642078" w:rsidP="00A25DD5">
      <w:pPr>
        <w:pStyle w:val="ListParagraph"/>
        <w:ind w:left="426" w:hanging="426"/>
        <w:rPr>
          <w:rFonts w:asciiTheme="minorHAnsi" w:hAnsiTheme="minorHAnsi" w:cs="Arial"/>
          <w:color w:val="000000" w:themeColor="text1"/>
          <w:lang w:val="en-GB"/>
        </w:rPr>
      </w:pPr>
      <w:r w:rsidRPr="00D25BE7">
        <w:rPr>
          <w:rFonts w:asciiTheme="minorHAnsi" w:hAnsiTheme="minorHAnsi" w:cs="Arial"/>
          <w:szCs w:val="22"/>
          <w:lang w:val="en-GB"/>
        </w:rPr>
        <w:t>Table 1</w:t>
      </w:r>
      <w:r w:rsidR="00757DAE" w:rsidRPr="00D25BE7">
        <w:rPr>
          <w:rFonts w:asciiTheme="minorHAnsi" w:hAnsiTheme="minorHAnsi" w:cs="Arial"/>
          <w:szCs w:val="22"/>
          <w:lang w:val="en-GB"/>
        </w:rPr>
        <w:t xml:space="preserve"> lists the companies </w:t>
      </w:r>
      <w:r w:rsidRPr="00D25BE7">
        <w:rPr>
          <w:rFonts w:asciiTheme="minorHAnsi" w:hAnsiTheme="minorHAnsi" w:cs="Arial"/>
          <w:szCs w:val="22"/>
          <w:lang w:val="en-GB"/>
        </w:rPr>
        <w:t xml:space="preserve">within </w:t>
      </w:r>
      <w:r w:rsidR="00452988" w:rsidRPr="00D25BE7">
        <w:rPr>
          <w:rFonts w:asciiTheme="minorHAnsi" w:hAnsiTheme="minorHAnsi" w:cs="Arial"/>
          <w:szCs w:val="22"/>
          <w:lang w:val="en-GB"/>
        </w:rPr>
        <w:t>each</w:t>
      </w:r>
      <w:r w:rsidRPr="00D25BE7">
        <w:rPr>
          <w:rFonts w:asciiTheme="minorHAnsi" w:hAnsiTheme="minorHAnsi" w:cs="Arial"/>
          <w:szCs w:val="22"/>
          <w:lang w:val="en-GB"/>
        </w:rPr>
        <w:t xml:space="preserve"> group </w:t>
      </w:r>
      <w:r w:rsidR="00452988" w:rsidRPr="00D25BE7">
        <w:rPr>
          <w:rFonts w:asciiTheme="minorHAnsi" w:hAnsiTheme="minorHAnsi" w:cs="Arial"/>
          <w:szCs w:val="22"/>
          <w:lang w:val="en-GB"/>
        </w:rPr>
        <w:t xml:space="preserve">and each </w:t>
      </w:r>
      <w:r w:rsidR="00757DAE" w:rsidRPr="00D25BE7">
        <w:rPr>
          <w:rFonts w:asciiTheme="minorHAnsi" w:hAnsiTheme="minorHAnsi" w:cs="Arial"/>
          <w:szCs w:val="22"/>
          <w:lang w:val="en-GB"/>
        </w:rPr>
        <w:t>company’s</w:t>
      </w:r>
      <w:r w:rsidR="00452988" w:rsidRPr="00D25BE7">
        <w:rPr>
          <w:rFonts w:asciiTheme="minorHAnsi" w:hAnsiTheme="minorHAnsi" w:cs="Arial"/>
          <w:szCs w:val="22"/>
          <w:lang w:val="en-GB"/>
        </w:rPr>
        <w:t xml:space="preserve"> financial year end date</w:t>
      </w:r>
      <w:r w:rsidR="006B73D3" w:rsidRPr="00D25BE7">
        <w:rPr>
          <w:rFonts w:asciiTheme="minorHAnsi" w:hAnsiTheme="minorHAnsi" w:cs="Arial"/>
          <w:szCs w:val="22"/>
          <w:lang w:val="en-GB"/>
        </w:rPr>
        <w:t>. It also</w:t>
      </w:r>
      <w:r w:rsidR="00452988" w:rsidRPr="00D25BE7">
        <w:rPr>
          <w:rFonts w:asciiTheme="minorHAnsi" w:hAnsiTheme="minorHAnsi" w:cs="Arial"/>
          <w:szCs w:val="22"/>
          <w:lang w:val="en-GB"/>
        </w:rPr>
        <w:t xml:space="preserve"> highlights which </w:t>
      </w:r>
      <w:r w:rsidR="00920597" w:rsidRPr="00D25BE7">
        <w:rPr>
          <w:rFonts w:asciiTheme="minorHAnsi" w:hAnsiTheme="minorHAnsi" w:cs="Arial"/>
          <w:szCs w:val="22"/>
          <w:lang w:val="en-GB"/>
        </w:rPr>
        <w:t xml:space="preserve">was the most recent AFS included in this report. </w:t>
      </w:r>
      <w:r w:rsidR="007E0E17" w:rsidRPr="00D25BE7">
        <w:rPr>
          <w:rFonts w:asciiTheme="minorHAnsi" w:hAnsiTheme="minorHAnsi" w:cs="Arial"/>
          <w:color w:val="000000" w:themeColor="text1"/>
          <w:szCs w:val="22"/>
          <w:lang w:val="en-GB"/>
        </w:rPr>
        <w:t xml:space="preserve">Most SOEs are registered under the Companies Act except for three statutory corporations </w:t>
      </w:r>
      <w:r w:rsidR="00BC3D69" w:rsidRPr="00D25BE7">
        <w:rPr>
          <w:rFonts w:asciiTheme="minorHAnsi" w:hAnsiTheme="minorHAnsi" w:cs="Arial"/>
          <w:color w:val="000000" w:themeColor="text1"/>
          <w:szCs w:val="22"/>
          <w:lang w:val="en-GB"/>
        </w:rPr>
        <w:t>(BEDCO, LTDC and LNDC)</w:t>
      </w:r>
      <w:r w:rsidR="00920597" w:rsidRPr="00D25BE7">
        <w:rPr>
          <w:rFonts w:asciiTheme="minorHAnsi" w:hAnsiTheme="minorHAnsi" w:cs="Arial"/>
          <w:color w:val="000000" w:themeColor="text1"/>
          <w:szCs w:val="22"/>
          <w:lang w:val="en-GB"/>
        </w:rPr>
        <w:t xml:space="preserve">, </w:t>
      </w:r>
      <w:r w:rsidR="007E0E17" w:rsidRPr="00D25BE7">
        <w:rPr>
          <w:rFonts w:asciiTheme="minorHAnsi" w:hAnsiTheme="minorHAnsi" w:cs="Arial"/>
          <w:color w:val="000000" w:themeColor="text1"/>
          <w:szCs w:val="22"/>
          <w:lang w:val="en-GB"/>
        </w:rPr>
        <w:t xml:space="preserve">which are registered under their own founding Acts. </w:t>
      </w:r>
      <w:bookmarkStart w:id="5" w:name="_Ref453668451"/>
      <w:bookmarkStart w:id="6" w:name="_Toc453667650"/>
      <w:bookmarkStart w:id="7" w:name="_Toc453672609"/>
      <w:bookmarkStart w:id="8" w:name="_Toc455075913"/>
    </w:p>
    <w:p w14:paraId="7767B776" w14:textId="7ABD68CC" w:rsidR="00575270" w:rsidRPr="00D25BE7" w:rsidRDefault="00575270" w:rsidP="00A25DD5">
      <w:pPr>
        <w:pStyle w:val="ListParagraph"/>
        <w:ind w:left="426" w:hanging="426"/>
        <w:rPr>
          <w:rFonts w:asciiTheme="minorHAnsi" w:hAnsiTheme="minorHAnsi" w:cs="Arial"/>
          <w:color w:val="000000" w:themeColor="text1"/>
          <w:lang w:val="en-GB"/>
        </w:rPr>
      </w:pPr>
      <w:r w:rsidRPr="00D25BE7">
        <w:rPr>
          <w:rFonts w:asciiTheme="minorHAnsi" w:hAnsiTheme="minorHAnsi"/>
          <w:lang w:val="en-GB"/>
        </w:rPr>
        <w:t>The analysis in this report is based on the audited financial statements (AFS) of the respective enterprises. In some instances (especially earlier year comparatives</w:t>
      </w:r>
      <w:r w:rsidR="004F122E">
        <w:rPr>
          <w:rFonts w:asciiTheme="minorHAnsi" w:hAnsiTheme="minorHAnsi"/>
          <w:lang w:val="en-GB"/>
        </w:rPr>
        <w:t xml:space="preserve"> </w:t>
      </w:r>
      <w:r w:rsidRPr="00D25BE7">
        <w:rPr>
          <w:rFonts w:asciiTheme="minorHAnsi" w:hAnsiTheme="minorHAnsi"/>
          <w:lang w:val="en-GB"/>
        </w:rPr>
        <w:t xml:space="preserve">for trend analysis) </w:t>
      </w:r>
      <w:r w:rsidR="00E06B8F">
        <w:rPr>
          <w:rFonts w:asciiTheme="minorHAnsi" w:hAnsiTheme="minorHAnsi"/>
          <w:lang w:val="en-GB"/>
        </w:rPr>
        <w:t>AFS</w:t>
      </w:r>
      <w:r w:rsidRPr="00D25BE7">
        <w:rPr>
          <w:rFonts w:asciiTheme="minorHAnsi" w:hAnsiTheme="minorHAnsi"/>
          <w:lang w:val="en-GB"/>
        </w:rPr>
        <w:t xml:space="preserve"> </w:t>
      </w:r>
      <w:r w:rsidR="00D75FE5">
        <w:rPr>
          <w:rFonts w:asciiTheme="minorHAnsi" w:hAnsiTheme="minorHAnsi"/>
          <w:lang w:val="en-GB"/>
        </w:rPr>
        <w:t xml:space="preserve">are </w:t>
      </w:r>
      <w:r w:rsidRPr="00D25BE7">
        <w:rPr>
          <w:rFonts w:asciiTheme="minorHAnsi" w:hAnsiTheme="minorHAnsi"/>
          <w:lang w:val="en-GB"/>
        </w:rPr>
        <w:t xml:space="preserve">not available, and either alternative sources were used for some information, or information </w:t>
      </w:r>
      <w:r w:rsidR="00D75FE5">
        <w:rPr>
          <w:rFonts w:asciiTheme="minorHAnsi" w:hAnsiTheme="minorHAnsi"/>
          <w:lang w:val="en-GB"/>
        </w:rPr>
        <w:t>is</w:t>
      </w:r>
      <w:r w:rsidR="00D75FE5" w:rsidRPr="00D25BE7">
        <w:rPr>
          <w:rFonts w:asciiTheme="minorHAnsi" w:hAnsiTheme="minorHAnsi"/>
          <w:lang w:val="en-GB"/>
        </w:rPr>
        <w:t xml:space="preserve"> </w:t>
      </w:r>
      <w:r w:rsidRPr="00D25BE7">
        <w:rPr>
          <w:rFonts w:asciiTheme="minorHAnsi" w:hAnsiTheme="minorHAnsi"/>
          <w:lang w:val="en-GB"/>
        </w:rPr>
        <w:t>absent.</w:t>
      </w:r>
    </w:p>
    <w:p w14:paraId="34F03F20" w14:textId="7FC1BB01" w:rsidR="000B43C9" w:rsidRPr="00A11CEC" w:rsidRDefault="000B43C9" w:rsidP="000B43C9">
      <w:pPr>
        <w:pStyle w:val="ListParagraph"/>
        <w:ind w:left="426" w:hanging="426"/>
        <w:rPr>
          <w:rFonts w:asciiTheme="minorHAnsi" w:hAnsiTheme="minorHAnsi"/>
          <w:szCs w:val="22"/>
          <w:lang w:val="en-GB"/>
        </w:rPr>
      </w:pPr>
      <w:r w:rsidRPr="00A11CEC">
        <w:rPr>
          <w:rFonts w:asciiTheme="minorHAnsi" w:hAnsiTheme="minorHAnsi"/>
          <w:lang w:val="en-GB"/>
        </w:rPr>
        <w:t>Where an enterprise has a fiscal year end other than 31 March, the AFS for</w:t>
      </w:r>
      <w:r w:rsidRPr="00A11CEC">
        <w:rPr>
          <w:rFonts w:asciiTheme="minorHAnsi" w:hAnsiTheme="minorHAnsi"/>
          <w:szCs w:val="22"/>
          <w:lang w:val="en-GB"/>
        </w:rPr>
        <w:t xml:space="preserve"> the fiscal year end that falls in the government fiscal year to the relevant 31 March </w:t>
      </w:r>
      <w:r w:rsidR="00D75FE5" w:rsidRPr="00A11CEC">
        <w:rPr>
          <w:rFonts w:asciiTheme="minorHAnsi" w:hAnsiTheme="minorHAnsi"/>
          <w:szCs w:val="22"/>
          <w:lang w:val="en-GB"/>
        </w:rPr>
        <w:t xml:space="preserve">is </w:t>
      </w:r>
      <w:r w:rsidRPr="00A11CEC">
        <w:rPr>
          <w:rFonts w:asciiTheme="minorHAnsi" w:hAnsiTheme="minorHAnsi"/>
          <w:szCs w:val="22"/>
          <w:lang w:val="en-GB"/>
        </w:rPr>
        <w:t>used</w:t>
      </w:r>
      <w:r w:rsidR="00B17C57" w:rsidRPr="00A11CEC">
        <w:rPr>
          <w:rFonts w:asciiTheme="minorHAnsi" w:hAnsiTheme="minorHAnsi"/>
          <w:szCs w:val="22"/>
          <w:lang w:val="en-GB"/>
        </w:rPr>
        <w:t xml:space="preserve"> as highlighted in Table 1, below.</w:t>
      </w:r>
    </w:p>
    <w:p w14:paraId="6AE72376" w14:textId="77777777" w:rsidR="000B43C9" w:rsidRPr="00D25BE7" w:rsidRDefault="000B43C9" w:rsidP="00D25BE7">
      <w:pPr>
        <w:rPr>
          <w:rFonts w:asciiTheme="minorHAnsi" w:hAnsiTheme="minorHAnsi" w:cs="Arial"/>
          <w:color w:val="000000" w:themeColor="text1"/>
          <w:lang w:val="en-GB"/>
        </w:rPr>
      </w:pPr>
    </w:p>
    <w:p w14:paraId="1CDB4C0B" w14:textId="24E922DC" w:rsidR="00E512CD" w:rsidRPr="00D25BE7" w:rsidRDefault="00E512CD" w:rsidP="008550D5">
      <w:pPr>
        <w:tabs>
          <w:tab w:val="left" w:pos="4962"/>
        </w:tabs>
        <w:ind w:left="426"/>
        <w:rPr>
          <w:rFonts w:asciiTheme="minorHAnsi" w:hAnsiTheme="minorHAnsi" w:cs="Arial"/>
          <w:b/>
          <w:sz w:val="20"/>
          <w:lang w:val="en-GB"/>
        </w:rPr>
      </w:pPr>
      <w:r w:rsidRPr="00D25BE7">
        <w:rPr>
          <w:rFonts w:asciiTheme="minorHAnsi" w:hAnsiTheme="minorHAnsi" w:cs="Arial"/>
          <w:b/>
          <w:sz w:val="20"/>
          <w:lang w:val="en-GB"/>
        </w:rPr>
        <w:t xml:space="preserve">Table </w:t>
      </w:r>
      <w:r w:rsidRPr="00D25BE7">
        <w:rPr>
          <w:rFonts w:asciiTheme="minorHAnsi" w:hAnsiTheme="minorHAnsi" w:cs="Arial"/>
          <w:b/>
          <w:sz w:val="20"/>
          <w:lang w:val="en-GB"/>
        </w:rPr>
        <w:fldChar w:fldCharType="begin"/>
      </w:r>
      <w:r w:rsidRPr="00D25BE7">
        <w:rPr>
          <w:rFonts w:asciiTheme="minorHAnsi" w:hAnsiTheme="minorHAnsi" w:cs="Arial"/>
          <w:b/>
          <w:sz w:val="20"/>
          <w:lang w:val="en-GB"/>
        </w:rPr>
        <w:instrText xml:space="preserve"> SEQ Table \* ARABIC </w:instrText>
      </w:r>
      <w:r w:rsidRPr="00D25BE7">
        <w:rPr>
          <w:rFonts w:asciiTheme="minorHAnsi" w:hAnsiTheme="minorHAnsi" w:cs="Arial"/>
          <w:b/>
          <w:sz w:val="20"/>
          <w:lang w:val="en-GB"/>
        </w:rPr>
        <w:fldChar w:fldCharType="separate"/>
      </w:r>
      <w:r w:rsidR="00E15B3D">
        <w:rPr>
          <w:rFonts w:asciiTheme="minorHAnsi" w:hAnsiTheme="minorHAnsi" w:cs="Arial"/>
          <w:b/>
          <w:noProof/>
          <w:sz w:val="20"/>
          <w:lang w:val="en-GB"/>
        </w:rPr>
        <w:t>1</w:t>
      </w:r>
      <w:r w:rsidRPr="00D25BE7">
        <w:rPr>
          <w:rFonts w:asciiTheme="minorHAnsi" w:hAnsiTheme="minorHAnsi" w:cs="Arial"/>
          <w:b/>
          <w:noProof/>
          <w:sz w:val="20"/>
          <w:lang w:val="en-GB"/>
        </w:rPr>
        <w:fldChar w:fldCharType="end"/>
      </w:r>
      <w:bookmarkEnd w:id="5"/>
      <w:r w:rsidRPr="00D25BE7">
        <w:rPr>
          <w:rFonts w:asciiTheme="minorHAnsi" w:hAnsiTheme="minorHAnsi" w:cs="Arial"/>
          <w:b/>
          <w:sz w:val="20"/>
          <w:lang w:val="en-GB"/>
        </w:rPr>
        <w:t xml:space="preserve">: SOEs </w:t>
      </w:r>
      <w:bookmarkEnd w:id="6"/>
      <w:bookmarkEnd w:id="7"/>
      <w:bookmarkEnd w:id="8"/>
      <w:r w:rsidR="00920597" w:rsidRPr="00D25BE7">
        <w:rPr>
          <w:rFonts w:asciiTheme="minorHAnsi" w:hAnsiTheme="minorHAnsi" w:cs="Arial"/>
          <w:b/>
          <w:sz w:val="20"/>
          <w:lang w:val="en-GB"/>
        </w:rPr>
        <w:t>and GoL invested companies</w:t>
      </w:r>
    </w:p>
    <w:p w14:paraId="1A348832" w14:textId="77777777" w:rsidR="00920597" w:rsidRPr="00D25BE7" w:rsidRDefault="00920597" w:rsidP="008550D5">
      <w:pPr>
        <w:tabs>
          <w:tab w:val="left" w:pos="4962"/>
        </w:tabs>
        <w:ind w:left="426"/>
        <w:rPr>
          <w:rFonts w:asciiTheme="minorHAnsi" w:hAnsiTheme="minorHAnsi"/>
          <w:sz w:val="18"/>
          <w:szCs w:val="18"/>
          <w:lang w:val="en-GB"/>
        </w:rPr>
      </w:pPr>
    </w:p>
    <w:tbl>
      <w:tblPr>
        <w:tblStyle w:val="TableGrid"/>
        <w:tblW w:w="0" w:type="auto"/>
        <w:tblInd w:w="-289" w:type="dxa"/>
        <w:tblLayout w:type="fixed"/>
        <w:tblLook w:val="04A0" w:firstRow="1" w:lastRow="0" w:firstColumn="1" w:lastColumn="0" w:noHBand="0" w:noVBand="1"/>
      </w:tblPr>
      <w:tblGrid>
        <w:gridCol w:w="2524"/>
        <w:gridCol w:w="2126"/>
        <w:gridCol w:w="1718"/>
        <w:gridCol w:w="1400"/>
        <w:gridCol w:w="1461"/>
      </w:tblGrid>
      <w:tr w:rsidR="00973CB5" w:rsidRPr="001E16D5" w14:paraId="3689A789" w14:textId="21F499F9" w:rsidTr="00A11CEC">
        <w:trPr>
          <w:cantSplit/>
          <w:tblHeader/>
        </w:trPr>
        <w:tc>
          <w:tcPr>
            <w:tcW w:w="2524" w:type="dxa"/>
            <w:shd w:val="clear" w:color="auto" w:fill="BFBFBF" w:themeFill="background1" w:themeFillShade="BF"/>
            <w:vAlign w:val="center"/>
          </w:tcPr>
          <w:p w14:paraId="2275C9B5" w14:textId="72B15078" w:rsidR="00973CB5" w:rsidRPr="00D25BE7" w:rsidRDefault="00973CB5" w:rsidP="00500C19">
            <w:pPr>
              <w:pStyle w:val="ListParagraph"/>
              <w:numPr>
                <w:ilvl w:val="0"/>
                <w:numId w:val="0"/>
              </w:numPr>
              <w:spacing w:after="0" w:line="240" w:lineRule="auto"/>
              <w:jc w:val="center"/>
              <w:rPr>
                <w:rFonts w:asciiTheme="minorHAnsi" w:hAnsiTheme="minorHAnsi" w:cs="Arial"/>
                <w:lang w:val="en-GB"/>
              </w:rPr>
            </w:pPr>
            <w:r w:rsidRPr="00D25BE7">
              <w:rPr>
                <w:rFonts w:asciiTheme="minorHAnsi" w:hAnsiTheme="minorHAnsi" w:cs="Arial"/>
                <w:b/>
                <w:sz w:val="20"/>
                <w:lang w:val="en-GB"/>
              </w:rPr>
              <w:t>SOE</w:t>
            </w:r>
          </w:p>
        </w:tc>
        <w:tc>
          <w:tcPr>
            <w:tcW w:w="2126" w:type="dxa"/>
            <w:shd w:val="clear" w:color="auto" w:fill="BFBFBF" w:themeFill="background1" w:themeFillShade="BF"/>
            <w:vAlign w:val="center"/>
          </w:tcPr>
          <w:p w14:paraId="1BC7E80B" w14:textId="17690881" w:rsidR="00973CB5" w:rsidRPr="00D25BE7" w:rsidRDefault="00973CB5" w:rsidP="00500C19">
            <w:pPr>
              <w:pStyle w:val="ListParagraph"/>
              <w:numPr>
                <w:ilvl w:val="0"/>
                <w:numId w:val="0"/>
              </w:numPr>
              <w:spacing w:after="0" w:line="240" w:lineRule="auto"/>
              <w:jc w:val="center"/>
              <w:rPr>
                <w:rFonts w:asciiTheme="minorHAnsi" w:hAnsiTheme="minorHAnsi" w:cs="Arial"/>
                <w:lang w:val="en-GB"/>
              </w:rPr>
            </w:pPr>
            <w:r w:rsidRPr="00D25BE7">
              <w:rPr>
                <w:rFonts w:asciiTheme="minorHAnsi" w:hAnsiTheme="minorHAnsi" w:cs="Arial"/>
                <w:b/>
                <w:sz w:val="20"/>
                <w:lang w:val="en-GB"/>
              </w:rPr>
              <w:t>Sector</w:t>
            </w:r>
          </w:p>
        </w:tc>
        <w:tc>
          <w:tcPr>
            <w:tcW w:w="1718" w:type="dxa"/>
            <w:shd w:val="clear" w:color="auto" w:fill="BFBFBF" w:themeFill="background1" w:themeFillShade="BF"/>
            <w:vAlign w:val="center"/>
          </w:tcPr>
          <w:p w14:paraId="5F1DA5D1" w14:textId="46300BE6" w:rsidR="00973CB5" w:rsidRPr="00D25BE7" w:rsidRDefault="00500C19" w:rsidP="00500C19">
            <w:pPr>
              <w:pStyle w:val="ListParagraph"/>
              <w:numPr>
                <w:ilvl w:val="0"/>
                <w:numId w:val="0"/>
              </w:numPr>
              <w:spacing w:after="0" w:line="240" w:lineRule="auto"/>
              <w:jc w:val="center"/>
              <w:rPr>
                <w:rFonts w:asciiTheme="minorHAnsi" w:hAnsiTheme="minorHAnsi" w:cs="Arial"/>
                <w:lang w:val="en-GB"/>
              </w:rPr>
            </w:pPr>
            <w:r>
              <w:rPr>
                <w:rFonts w:asciiTheme="minorHAnsi" w:hAnsiTheme="minorHAnsi" w:cs="Arial"/>
                <w:b/>
                <w:sz w:val="20"/>
                <w:lang w:val="en-GB"/>
              </w:rPr>
              <w:t xml:space="preserve">Level of </w:t>
            </w:r>
            <w:r w:rsidR="00973CB5" w:rsidRPr="00D25BE7">
              <w:rPr>
                <w:rFonts w:asciiTheme="minorHAnsi" w:hAnsiTheme="minorHAnsi" w:cs="Arial"/>
                <w:b/>
                <w:sz w:val="20"/>
                <w:lang w:val="en-GB"/>
              </w:rPr>
              <w:t>Government / LNDC Ownership</w:t>
            </w:r>
          </w:p>
        </w:tc>
        <w:tc>
          <w:tcPr>
            <w:tcW w:w="1400" w:type="dxa"/>
            <w:shd w:val="clear" w:color="auto" w:fill="BFBFBF" w:themeFill="background1" w:themeFillShade="BF"/>
            <w:vAlign w:val="center"/>
          </w:tcPr>
          <w:p w14:paraId="0F6F2922" w14:textId="292785F9" w:rsidR="00973CB5" w:rsidRPr="00D25BE7" w:rsidRDefault="00973CB5" w:rsidP="00500C19">
            <w:pPr>
              <w:pStyle w:val="ListParagraph"/>
              <w:numPr>
                <w:ilvl w:val="0"/>
                <w:numId w:val="0"/>
              </w:numPr>
              <w:spacing w:after="0" w:line="240" w:lineRule="auto"/>
              <w:jc w:val="center"/>
              <w:rPr>
                <w:rFonts w:asciiTheme="minorHAnsi" w:hAnsiTheme="minorHAnsi" w:cs="Arial"/>
                <w:lang w:val="en-GB"/>
              </w:rPr>
            </w:pPr>
            <w:r w:rsidRPr="00D25BE7">
              <w:rPr>
                <w:rFonts w:asciiTheme="minorHAnsi" w:hAnsiTheme="minorHAnsi" w:cs="Arial"/>
                <w:b/>
                <w:sz w:val="20"/>
                <w:lang w:val="en-GB"/>
              </w:rPr>
              <w:t>Fiscal Year End</w:t>
            </w:r>
          </w:p>
        </w:tc>
        <w:tc>
          <w:tcPr>
            <w:tcW w:w="1461" w:type="dxa"/>
            <w:shd w:val="clear" w:color="auto" w:fill="BFBFBF" w:themeFill="background1" w:themeFillShade="BF"/>
            <w:vAlign w:val="center"/>
          </w:tcPr>
          <w:p w14:paraId="3582FCA1" w14:textId="1862E9F3" w:rsidR="00973CB5" w:rsidRPr="00D25BE7" w:rsidRDefault="008C1CAB" w:rsidP="00500C19">
            <w:pPr>
              <w:pStyle w:val="ListParagraph"/>
              <w:numPr>
                <w:ilvl w:val="0"/>
                <w:numId w:val="0"/>
              </w:numPr>
              <w:spacing w:after="0" w:line="240" w:lineRule="auto"/>
              <w:jc w:val="center"/>
              <w:rPr>
                <w:rFonts w:asciiTheme="minorHAnsi" w:hAnsiTheme="minorHAnsi" w:cs="Arial"/>
                <w:b/>
                <w:sz w:val="20"/>
                <w:lang w:val="en-GB"/>
              </w:rPr>
            </w:pPr>
            <w:r w:rsidRPr="00D25BE7">
              <w:rPr>
                <w:rFonts w:asciiTheme="minorHAnsi" w:hAnsiTheme="minorHAnsi" w:cs="Arial"/>
                <w:b/>
                <w:sz w:val="20"/>
                <w:lang w:val="en-GB"/>
              </w:rPr>
              <w:t xml:space="preserve">Most Recent </w:t>
            </w:r>
            <w:r w:rsidR="009546D5" w:rsidRPr="00D25BE7">
              <w:rPr>
                <w:rFonts w:asciiTheme="minorHAnsi" w:hAnsiTheme="minorHAnsi" w:cs="Arial"/>
                <w:b/>
                <w:sz w:val="20"/>
                <w:lang w:val="en-GB"/>
              </w:rPr>
              <w:t>AFS</w:t>
            </w:r>
          </w:p>
          <w:p w14:paraId="3FC396D6" w14:textId="3F5A42BC" w:rsidR="009546D5" w:rsidRPr="00D25BE7" w:rsidRDefault="009546D5" w:rsidP="00500C19">
            <w:pPr>
              <w:pStyle w:val="ListParagraph"/>
              <w:numPr>
                <w:ilvl w:val="0"/>
                <w:numId w:val="0"/>
              </w:numPr>
              <w:spacing w:after="0" w:line="240" w:lineRule="auto"/>
              <w:jc w:val="center"/>
              <w:rPr>
                <w:rFonts w:asciiTheme="minorHAnsi" w:hAnsiTheme="minorHAnsi" w:cs="Arial"/>
                <w:b/>
                <w:sz w:val="20"/>
                <w:lang w:val="en-GB"/>
              </w:rPr>
            </w:pPr>
            <w:r w:rsidRPr="00D25BE7">
              <w:rPr>
                <w:rFonts w:asciiTheme="minorHAnsi" w:hAnsiTheme="minorHAnsi" w:cs="Arial"/>
                <w:b/>
                <w:sz w:val="20"/>
                <w:lang w:val="en-GB"/>
              </w:rPr>
              <w:t>included</w:t>
            </w:r>
            <w:r w:rsidRPr="00D25BE7">
              <w:rPr>
                <w:rStyle w:val="FootnoteReference"/>
                <w:rFonts w:asciiTheme="minorHAnsi" w:hAnsiTheme="minorHAnsi" w:cs="Arial"/>
                <w:b/>
                <w:sz w:val="20"/>
                <w:lang w:val="en-GB"/>
              </w:rPr>
              <w:footnoteReference w:id="2"/>
            </w:r>
          </w:p>
        </w:tc>
      </w:tr>
      <w:tr w:rsidR="00973CB5" w:rsidRPr="001E16D5" w14:paraId="059E48C0" w14:textId="4D7E5E1E" w:rsidTr="00A11CEC">
        <w:tc>
          <w:tcPr>
            <w:tcW w:w="7768" w:type="dxa"/>
            <w:gridSpan w:val="4"/>
            <w:shd w:val="clear" w:color="auto" w:fill="D9D9D9" w:themeFill="background1" w:themeFillShade="D9"/>
          </w:tcPr>
          <w:p w14:paraId="07ACA763" w14:textId="3C455E2E" w:rsidR="00973CB5" w:rsidRPr="00D25BE7" w:rsidRDefault="00973CB5" w:rsidP="00500C19">
            <w:pPr>
              <w:pStyle w:val="ListParagraph"/>
              <w:numPr>
                <w:ilvl w:val="0"/>
                <w:numId w:val="0"/>
              </w:numPr>
              <w:spacing w:before="60" w:after="60" w:line="240" w:lineRule="auto"/>
              <w:jc w:val="left"/>
              <w:rPr>
                <w:rFonts w:asciiTheme="minorHAnsi" w:hAnsiTheme="minorHAnsi" w:cs="Arial"/>
                <w:b/>
                <w:sz w:val="20"/>
                <w:lang w:val="en-GB"/>
              </w:rPr>
            </w:pPr>
            <w:r w:rsidRPr="00D25BE7">
              <w:rPr>
                <w:rFonts w:asciiTheme="minorHAnsi" w:hAnsiTheme="minorHAnsi" w:cs="Arial"/>
                <w:b/>
                <w:i/>
                <w:sz w:val="20"/>
                <w:lang w:val="en-GB"/>
              </w:rPr>
              <w:t>1.  SOEs with 100</w:t>
            </w:r>
            <w:r w:rsidR="00500C19">
              <w:rPr>
                <w:rFonts w:asciiTheme="minorHAnsi" w:hAnsiTheme="minorHAnsi" w:cs="Arial"/>
                <w:b/>
                <w:i/>
                <w:sz w:val="20"/>
                <w:lang w:val="en-GB"/>
              </w:rPr>
              <w:t xml:space="preserve">% </w:t>
            </w:r>
            <w:r w:rsidRPr="00D25BE7">
              <w:rPr>
                <w:rFonts w:asciiTheme="minorHAnsi" w:hAnsiTheme="minorHAnsi" w:cs="Arial"/>
                <w:b/>
                <w:i/>
                <w:sz w:val="20"/>
                <w:lang w:val="en-GB"/>
              </w:rPr>
              <w:t>Government ownership</w:t>
            </w:r>
          </w:p>
        </w:tc>
        <w:tc>
          <w:tcPr>
            <w:tcW w:w="1461" w:type="dxa"/>
            <w:shd w:val="clear" w:color="auto" w:fill="D9D9D9" w:themeFill="background1" w:themeFillShade="D9"/>
          </w:tcPr>
          <w:p w14:paraId="03ED7E97" w14:textId="77777777" w:rsidR="00973CB5" w:rsidRPr="00D25BE7" w:rsidRDefault="00973CB5" w:rsidP="00C0251B">
            <w:pPr>
              <w:pStyle w:val="ListParagraph"/>
              <w:numPr>
                <w:ilvl w:val="0"/>
                <w:numId w:val="0"/>
              </w:numPr>
              <w:spacing w:before="120" w:after="0" w:line="240" w:lineRule="auto"/>
              <w:jc w:val="left"/>
              <w:rPr>
                <w:rFonts w:asciiTheme="minorHAnsi" w:hAnsiTheme="minorHAnsi" w:cs="Arial"/>
                <w:b/>
                <w:i/>
                <w:sz w:val="20"/>
                <w:lang w:val="en-GB"/>
              </w:rPr>
            </w:pPr>
          </w:p>
        </w:tc>
      </w:tr>
      <w:tr w:rsidR="008C1CAB" w:rsidRPr="001E16D5" w14:paraId="0F0879CD" w14:textId="491E2A97" w:rsidTr="00A11CEC">
        <w:tc>
          <w:tcPr>
            <w:tcW w:w="2524" w:type="dxa"/>
            <w:vAlign w:val="center"/>
          </w:tcPr>
          <w:p w14:paraId="778D9CE2" w14:textId="52C5E0EE" w:rsidR="008C1CAB" w:rsidRPr="00D25BE7" w:rsidRDefault="008C1CAB" w:rsidP="00D25BE7">
            <w:pPr>
              <w:pStyle w:val="ListParagraph"/>
              <w:numPr>
                <w:ilvl w:val="0"/>
                <w:numId w:val="0"/>
              </w:numPr>
              <w:spacing w:before="40" w:after="40" w:line="240" w:lineRule="auto"/>
              <w:ind w:right="201"/>
              <w:jc w:val="left"/>
              <w:rPr>
                <w:rFonts w:asciiTheme="minorHAnsi" w:hAnsiTheme="minorHAnsi" w:cs="Arial"/>
                <w:lang w:val="en-GB"/>
              </w:rPr>
            </w:pPr>
            <w:r w:rsidRPr="00D25BE7">
              <w:rPr>
                <w:rFonts w:asciiTheme="minorHAnsi" w:hAnsiTheme="minorHAnsi" w:cs="Arial"/>
                <w:sz w:val="20"/>
                <w:lang w:val="en-GB"/>
              </w:rPr>
              <w:t>Lesotho Electricity Company Pty Ltd (LEC)</w:t>
            </w:r>
          </w:p>
        </w:tc>
        <w:tc>
          <w:tcPr>
            <w:tcW w:w="2126" w:type="dxa"/>
            <w:vAlign w:val="center"/>
          </w:tcPr>
          <w:p w14:paraId="0EC8769A" w14:textId="2B1B3251"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 xml:space="preserve">Utilities / Power  </w:t>
            </w:r>
          </w:p>
        </w:tc>
        <w:tc>
          <w:tcPr>
            <w:tcW w:w="1718" w:type="dxa"/>
            <w:vAlign w:val="center"/>
          </w:tcPr>
          <w:p w14:paraId="3B7AA605" w14:textId="3D475890" w:rsidR="008C1CAB" w:rsidRPr="00D25BE7" w:rsidRDefault="008C1CAB" w:rsidP="00D25BE7">
            <w:pPr>
              <w:pStyle w:val="ListParagraph"/>
              <w:numPr>
                <w:ilvl w:val="0"/>
                <w:numId w:val="0"/>
              </w:numPr>
              <w:spacing w:before="40" w:after="40" w:line="240" w:lineRule="auto"/>
              <w:jc w:val="center"/>
              <w:rPr>
                <w:rFonts w:asciiTheme="minorHAnsi" w:hAnsiTheme="minorHAnsi" w:cs="Arial"/>
                <w:lang w:val="en-GB"/>
              </w:rPr>
            </w:pPr>
            <w:r w:rsidRPr="00D25BE7">
              <w:rPr>
                <w:rFonts w:asciiTheme="minorHAnsi" w:hAnsiTheme="minorHAnsi" w:cs="Arial"/>
                <w:sz w:val="20"/>
                <w:lang w:val="en-GB"/>
              </w:rPr>
              <w:t>100</w:t>
            </w:r>
          </w:p>
        </w:tc>
        <w:tc>
          <w:tcPr>
            <w:tcW w:w="1400" w:type="dxa"/>
            <w:vAlign w:val="center"/>
          </w:tcPr>
          <w:p w14:paraId="6B3FF0DF" w14:textId="55D93EF4"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31 March</w:t>
            </w:r>
          </w:p>
        </w:tc>
        <w:tc>
          <w:tcPr>
            <w:tcW w:w="1461" w:type="dxa"/>
            <w:vAlign w:val="center"/>
          </w:tcPr>
          <w:p w14:paraId="2554C47D" w14:textId="7C079943"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31/03/2018</w:t>
            </w:r>
          </w:p>
        </w:tc>
      </w:tr>
      <w:tr w:rsidR="008C1CAB" w:rsidRPr="001E16D5" w14:paraId="73995EB5" w14:textId="4002BCE3" w:rsidTr="00A11CEC">
        <w:tc>
          <w:tcPr>
            <w:tcW w:w="2524" w:type="dxa"/>
            <w:vAlign w:val="center"/>
          </w:tcPr>
          <w:p w14:paraId="408D6AB1" w14:textId="0CD20781"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Water and Sewerage (Company) Pty Ltd (WASCO)</w:t>
            </w:r>
          </w:p>
        </w:tc>
        <w:tc>
          <w:tcPr>
            <w:tcW w:w="2126" w:type="dxa"/>
            <w:vAlign w:val="center"/>
          </w:tcPr>
          <w:p w14:paraId="0C42EB22" w14:textId="36B8E2D4"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 xml:space="preserve">Utilities / Water and </w:t>
            </w:r>
            <w:r w:rsidR="004012A6">
              <w:rPr>
                <w:rFonts w:asciiTheme="minorHAnsi" w:hAnsiTheme="minorHAnsi" w:cs="Arial"/>
                <w:sz w:val="20"/>
                <w:lang w:val="en-GB"/>
              </w:rPr>
              <w:t>S</w:t>
            </w:r>
            <w:r w:rsidRPr="00D25BE7">
              <w:rPr>
                <w:rFonts w:asciiTheme="minorHAnsi" w:hAnsiTheme="minorHAnsi" w:cs="Arial"/>
                <w:sz w:val="20"/>
                <w:lang w:val="en-GB"/>
              </w:rPr>
              <w:t>ew</w:t>
            </w:r>
            <w:r w:rsidR="004012A6">
              <w:rPr>
                <w:rFonts w:asciiTheme="minorHAnsi" w:hAnsiTheme="minorHAnsi" w:cs="Arial"/>
                <w:sz w:val="20"/>
                <w:lang w:val="en-GB"/>
              </w:rPr>
              <w:t>er</w:t>
            </w:r>
            <w:r w:rsidRPr="00D25BE7">
              <w:rPr>
                <w:rFonts w:asciiTheme="minorHAnsi" w:hAnsiTheme="minorHAnsi" w:cs="Arial"/>
                <w:sz w:val="20"/>
                <w:lang w:val="en-GB"/>
              </w:rPr>
              <w:t>age</w:t>
            </w:r>
          </w:p>
        </w:tc>
        <w:tc>
          <w:tcPr>
            <w:tcW w:w="1718" w:type="dxa"/>
            <w:vAlign w:val="center"/>
          </w:tcPr>
          <w:p w14:paraId="7E43413A" w14:textId="78CC0839" w:rsidR="008C1CAB" w:rsidRPr="00D25BE7" w:rsidRDefault="008C1CAB" w:rsidP="00D25BE7">
            <w:pPr>
              <w:pStyle w:val="ListParagraph"/>
              <w:numPr>
                <w:ilvl w:val="0"/>
                <w:numId w:val="0"/>
              </w:numPr>
              <w:spacing w:before="40" w:after="40" w:line="240" w:lineRule="auto"/>
              <w:jc w:val="center"/>
              <w:rPr>
                <w:rFonts w:asciiTheme="minorHAnsi" w:hAnsiTheme="minorHAnsi" w:cs="Arial"/>
                <w:lang w:val="en-GB"/>
              </w:rPr>
            </w:pPr>
            <w:r w:rsidRPr="00D25BE7">
              <w:rPr>
                <w:rFonts w:asciiTheme="minorHAnsi" w:hAnsiTheme="minorHAnsi" w:cs="Arial"/>
                <w:sz w:val="20"/>
                <w:lang w:val="en-GB"/>
              </w:rPr>
              <w:t>100</w:t>
            </w:r>
          </w:p>
        </w:tc>
        <w:tc>
          <w:tcPr>
            <w:tcW w:w="1400" w:type="dxa"/>
            <w:vAlign w:val="center"/>
          </w:tcPr>
          <w:p w14:paraId="752A5204" w14:textId="0D721569"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31 March</w:t>
            </w:r>
          </w:p>
        </w:tc>
        <w:tc>
          <w:tcPr>
            <w:tcW w:w="1461" w:type="dxa"/>
            <w:vAlign w:val="center"/>
          </w:tcPr>
          <w:p w14:paraId="44152343" w14:textId="4A8F9D12"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31/03/2018</w:t>
            </w:r>
          </w:p>
        </w:tc>
      </w:tr>
      <w:tr w:rsidR="008C1CAB" w:rsidRPr="001E16D5" w14:paraId="793120DB" w14:textId="79F69029" w:rsidTr="00A11CEC">
        <w:tc>
          <w:tcPr>
            <w:tcW w:w="2524" w:type="dxa"/>
            <w:vAlign w:val="center"/>
          </w:tcPr>
          <w:p w14:paraId="6B03A3E8" w14:textId="1EED794E" w:rsidR="008C1CAB" w:rsidRPr="00D25BE7" w:rsidRDefault="008C1CAB" w:rsidP="00D25BE7">
            <w:pPr>
              <w:pStyle w:val="ListParagraph"/>
              <w:numPr>
                <w:ilvl w:val="0"/>
                <w:numId w:val="0"/>
              </w:numPr>
              <w:spacing w:before="40" w:after="40" w:line="240" w:lineRule="auto"/>
              <w:ind w:right="201"/>
              <w:jc w:val="left"/>
              <w:rPr>
                <w:rFonts w:asciiTheme="minorHAnsi" w:hAnsiTheme="minorHAnsi" w:cs="Arial"/>
                <w:sz w:val="20"/>
                <w:lang w:val="en-GB"/>
              </w:rPr>
            </w:pPr>
            <w:r w:rsidRPr="00D25BE7">
              <w:rPr>
                <w:rFonts w:asciiTheme="minorHAnsi" w:hAnsiTheme="minorHAnsi" w:cs="Arial"/>
                <w:sz w:val="20"/>
                <w:lang w:val="en-GB"/>
              </w:rPr>
              <w:t>Lesotho Tourism Development Corporation (LTDC)</w:t>
            </w:r>
          </w:p>
        </w:tc>
        <w:tc>
          <w:tcPr>
            <w:tcW w:w="2126" w:type="dxa"/>
            <w:vAlign w:val="center"/>
          </w:tcPr>
          <w:p w14:paraId="05B3ECBA" w14:textId="17537583"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Tourism</w:t>
            </w:r>
          </w:p>
        </w:tc>
        <w:tc>
          <w:tcPr>
            <w:tcW w:w="1718" w:type="dxa"/>
            <w:vAlign w:val="center"/>
          </w:tcPr>
          <w:p w14:paraId="628D4F58" w14:textId="77CFE3B3" w:rsidR="008C1CAB" w:rsidRPr="00D25BE7" w:rsidRDefault="008C1CAB" w:rsidP="00D25BE7">
            <w:pPr>
              <w:pStyle w:val="ListParagraph"/>
              <w:numPr>
                <w:ilvl w:val="0"/>
                <w:numId w:val="0"/>
              </w:numPr>
              <w:spacing w:before="40" w:after="40" w:line="240" w:lineRule="auto"/>
              <w:jc w:val="center"/>
              <w:rPr>
                <w:rFonts w:asciiTheme="minorHAnsi" w:hAnsiTheme="minorHAnsi" w:cs="Arial"/>
                <w:sz w:val="20"/>
                <w:lang w:val="en-GB"/>
              </w:rPr>
            </w:pPr>
            <w:r w:rsidRPr="00D25BE7">
              <w:rPr>
                <w:rFonts w:asciiTheme="minorHAnsi" w:hAnsiTheme="minorHAnsi" w:cs="Arial"/>
                <w:sz w:val="20"/>
                <w:lang w:val="en-GB"/>
              </w:rPr>
              <w:t>100</w:t>
            </w:r>
          </w:p>
        </w:tc>
        <w:tc>
          <w:tcPr>
            <w:tcW w:w="1400" w:type="dxa"/>
            <w:vAlign w:val="center"/>
          </w:tcPr>
          <w:p w14:paraId="6229D083" w14:textId="20A48E53"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31 March</w:t>
            </w:r>
          </w:p>
        </w:tc>
        <w:tc>
          <w:tcPr>
            <w:tcW w:w="1461" w:type="dxa"/>
            <w:vAlign w:val="center"/>
          </w:tcPr>
          <w:p w14:paraId="03057866" w14:textId="4173216C" w:rsidR="008C1CAB" w:rsidRPr="00D25BE7" w:rsidRDefault="00E041AD" w:rsidP="00D25BE7">
            <w:pPr>
              <w:pStyle w:val="ListParagraph"/>
              <w:numPr>
                <w:ilvl w:val="0"/>
                <w:numId w:val="0"/>
              </w:numPr>
              <w:spacing w:before="40" w:after="40" w:line="240" w:lineRule="auto"/>
              <w:jc w:val="left"/>
              <w:rPr>
                <w:rFonts w:asciiTheme="minorHAnsi" w:hAnsiTheme="minorHAnsi" w:cs="Arial"/>
                <w:sz w:val="20"/>
                <w:lang w:val="en-GB"/>
              </w:rPr>
            </w:pPr>
            <w:r>
              <w:rPr>
                <w:rFonts w:asciiTheme="minorHAnsi" w:hAnsiTheme="minorHAnsi" w:cs="Arial"/>
                <w:sz w:val="20"/>
                <w:lang w:val="en-GB"/>
              </w:rPr>
              <w:t>31/03/2018</w:t>
            </w:r>
          </w:p>
        </w:tc>
      </w:tr>
      <w:tr w:rsidR="008C1CAB" w:rsidRPr="001E16D5" w14:paraId="741E3C8D" w14:textId="03E88C24" w:rsidTr="00A11CEC">
        <w:tc>
          <w:tcPr>
            <w:tcW w:w="2524" w:type="dxa"/>
            <w:vAlign w:val="center"/>
          </w:tcPr>
          <w:p w14:paraId="12AD577A" w14:textId="79811089" w:rsidR="008C1CAB" w:rsidRPr="00D25BE7" w:rsidRDefault="008C1CAB" w:rsidP="00D25BE7">
            <w:pPr>
              <w:pStyle w:val="ListParagraph"/>
              <w:numPr>
                <w:ilvl w:val="0"/>
                <w:numId w:val="0"/>
              </w:numPr>
              <w:spacing w:before="40" w:after="40" w:line="240" w:lineRule="auto"/>
              <w:ind w:right="270"/>
              <w:jc w:val="left"/>
              <w:rPr>
                <w:rFonts w:asciiTheme="minorHAnsi" w:hAnsiTheme="minorHAnsi" w:cs="Arial"/>
                <w:sz w:val="20"/>
                <w:lang w:val="en-GB"/>
              </w:rPr>
            </w:pPr>
            <w:r w:rsidRPr="00D25BE7">
              <w:rPr>
                <w:rFonts w:asciiTheme="minorHAnsi" w:hAnsiTheme="minorHAnsi" w:cs="Arial"/>
                <w:sz w:val="20"/>
                <w:lang w:val="en-GB"/>
              </w:rPr>
              <w:t>Lesotho Post Bank Ltd (LPB)</w:t>
            </w:r>
          </w:p>
        </w:tc>
        <w:tc>
          <w:tcPr>
            <w:tcW w:w="2126" w:type="dxa"/>
            <w:vAlign w:val="center"/>
          </w:tcPr>
          <w:p w14:paraId="1F019081" w14:textId="63FF5185"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Banking &amp; Insurance</w:t>
            </w:r>
          </w:p>
        </w:tc>
        <w:tc>
          <w:tcPr>
            <w:tcW w:w="1718" w:type="dxa"/>
            <w:vAlign w:val="center"/>
          </w:tcPr>
          <w:p w14:paraId="1A116CA6" w14:textId="0CBB003F" w:rsidR="008C1CAB" w:rsidRPr="00D25BE7" w:rsidRDefault="008C1CAB" w:rsidP="00D25BE7">
            <w:pPr>
              <w:pStyle w:val="ListParagraph"/>
              <w:numPr>
                <w:ilvl w:val="0"/>
                <w:numId w:val="0"/>
              </w:numPr>
              <w:spacing w:before="40" w:after="40" w:line="240" w:lineRule="auto"/>
              <w:jc w:val="center"/>
              <w:rPr>
                <w:rFonts w:asciiTheme="minorHAnsi" w:hAnsiTheme="minorHAnsi" w:cs="Arial"/>
                <w:sz w:val="20"/>
                <w:lang w:val="en-GB"/>
              </w:rPr>
            </w:pPr>
            <w:r w:rsidRPr="00D25BE7">
              <w:rPr>
                <w:rFonts w:asciiTheme="minorHAnsi" w:hAnsiTheme="minorHAnsi" w:cs="Arial"/>
                <w:sz w:val="20"/>
                <w:lang w:val="en-GB"/>
              </w:rPr>
              <w:t>100</w:t>
            </w:r>
          </w:p>
        </w:tc>
        <w:tc>
          <w:tcPr>
            <w:tcW w:w="1400" w:type="dxa"/>
            <w:vAlign w:val="center"/>
          </w:tcPr>
          <w:p w14:paraId="2981D03B" w14:textId="3EFAE1BB"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31 March</w:t>
            </w:r>
          </w:p>
        </w:tc>
        <w:tc>
          <w:tcPr>
            <w:tcW w:w="1461" w:type="dxa"/>
            <w:vAlign w:val="center"/>
          </w:tcPr>
          <w:p w14:paraId="0B550592" w14:textId="72E76E68"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31/03/2018</w:t>
            </w:r>
          </w:p>
        </w:tc>
      </w:tr>
      <w:tr w:rsidR="004F122E" w:rsidRPr="001E16D5" w14:paraId="578AAC78" w14:textId="57C356E5" w:rsidTr="00A11CEC">
        <w:tc>
          <w:tcPr>
            <w:tcW w:w="2524" w:type="dxa"/>
            <w:vAlign w:val="center"/>
          </w:tcPr>
          <w:p w14:paraId="741711BF" w14:textId="22C8C481" w:rsidR="004F122E" w:rsidRPr="00D25BE7" w:rsidRDefault="004F122E" w:rsidP="00D25BE7">
            <w:pPr>
              <w:pStyle w:val="ListParagraph"/>
              <w:numPr>
                <w:ilvl w:val="0"/>
                <w:numId w:val="0"/>
              </w:numPr>
              <w:spacing w:before="40" w:after="40" w:line="240" w:lineRule="auto"/>
              <w:ind w:right="-224"/>
              <w:jc w:val="left"/>
              <w:rPr>
                <w:rFonts w:asciiTheme="minorHAnsi" w:hAnsiTheme="minorHAnsi" w:cs="Arial"/>
                <w:lang w:val="en-GB"/>
              </w:rPr>
            </w:pPr>
            <w:r w:rsidRPr="00D25BE7">
              <w:rPr>
                <w:rFonts w:asciiTheme="minorHAnsi" w:hAnsiTheme="minorHAnsi" w:cs="Arial"/>
                <w:sz w:val="20"/>
                <w:lang w:val="en-GB"/>
              </w:rPr>
              <w:t>Basotho Enterprise Development Corporation (BEDCO)</w:t>
            </w:r>
          </w:p>
        </w:tc>
        <w:tc>
          <w:tcPr>
            <w:tcW w:w="2126" w:type="dxa"/>
            <w:vAlign w:val="center"/>
          </w:tcPr>
          <w:p w14:paraId="3410B13E" w14:textId="34AA9AB5" w:rsidR="004F122E" w:rsidRPr="00D25BE7" w:rsidRDefault="004F122E"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 xml:space="preserve">Business Investment Promotion </w:t>
            </w:r>
          </w:p>
        </w:tc>
        <w:tc>
          <w:tcPr>
            <w:tcW w:w="1718" w:type="dxa"/>
            <w:vAlign w:val="center"/>
          </w:tcPr>
          <w:p w14:paraId="7F6C5DE1" w14:textId="7CB57697" w:rsidR="004F122E" w:rsidRPr="00D25BE7" w:rsidRDefault="004F122E" w:rsidP="00D25BE7">
            <w:pPr>
              <w:pStyle w:val="ListParagraph"/>
              <w:numPr>
                <w:ilvl w:val="0"/>
                <w:numId w:val="0"/>
              </w:numPr>
              <w:spacing w:before="40" w:after="40" w:line="240" w:lineRule="auto"/>
              <w:jc w:val="center"/>
              <w:rPr>
                <w:rFonts w:asciiTheme="minorHAnsi" w:hAnsiTheme="minorHAnsi" w:cs="Arial"/>
                <w:lang w:val="en-GB"/>
              </w:rPr>
            </w:pPr>
            <w:r w:rsidRPr="00D25BE7">
              <w:rPr>
                <w:rFonts w:asciiTheme="minorHAnsi" w:hAnsiTheme="minorHAnsi" w:cs="Arial"/>
                <w:sz w:val="20"/>
                <w:lang w:val="en-GB"/>
              </w:rPr>
              <w:t>100</w:t>
            </w:r>
          </w:p>
        </w:tc>
        <w:tc>
          <w:tcPr>
            <w:tcW w:w="1400" w:type="dxa"/>
            <w:vAlign w:val="center"/>
          </w:tcPr>
          <w:p w14:paraId="7B5A7014" w14:textId="1132CC44" w:rsidR="004F122E" w:rsidRPr="00D25BE7" w:rsidRDefault="004F122E"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31 March</w:t>
            </w:r>
          </w:p>
        </w:tc>
        <w:tc>
          <w:tcPr>
            <w:tcW w:w="1461" w:type="dxa"/>
            <w:vAlign w:val="center"/>
          </w:tcPr>
          <w:p w14:paraId="7BE967DB" w14:textId="6212D6E5" w:rsidR="004F122E" w:rsidRPr="00D25BE7" w:rsidRDefault="004012A6" w:rsidP="00D25BE7">
            <w:pPr>
              <w:pStyle w:val="ListParagraph"/>
              <w:numPr>
                <w:ilvl w:val="0"/>
                <w:numId w:val="0"/>
              </w:numPr>
              <w:spacing w:before="40" w:after="40" w:line="240" w:lineRule="auto"/>
              <w:jc w:val="left"/>
              <w:rPr>
                <w:rFonts w:asciiTheme="minorHAnsi" w:hAnsiTheme="minorHAnsi" w:cs="Arial"/>
                <w:b/>
                <w:bCs/>
                <w:i/>
                <w:iCs/>
                <w:sz w:val="20"/>
                <w:lang w:val="en-GB"/>
              </w:rPr>
            </w:pPr>
            <w:r>
              <w:rPr>
                <w:rFonts w:asciiTheme="minorHAnsi" w:hAnsiTheme="minorHAnsi" w:cs="Arial"/>
                <w:sz w:val="20"/>
                <w:lang w:val="en-GB"/>
              </w:rPr>
              <w:t>31/03/2016</w:t>
            </w:r>
          </w:p>
        </w:tc>
      </w:tr>
      <w:tr w:rsidR="008C1CAB" w:rsidRPr="001E16D5" w14:paraId="3862B488" w14:textId="44423F9C" w:rsidTr="00A11CEC">
        <w:tc>
          <w:tcPr>
            <w:tcW w:w="2524" w:type="dxa"/>
            <w:vAlign w:val="center"/>
          </w:tcPr>
          <w:p w14:paraId="19A6546C" w14:textId="3694FA80"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Lesotho National Development Corporation (LNDC)</w:t>
            </w:r>
          </w:p>
        </w:tc>
        <w:tc>
          <w:tcPr>
            <w:tcW w:w="2126" w:type="dxa"/>
            <w:vAlign w:val="center"/>
          </w:tcPr>
          <w:p w14:paraId="1D018116" w14:textId="64D97151"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Business Investment Promotion</w:t>
            </w:r>
          </w:p>
        </w:tc>
        <w:tc>
          <w:tcPr>
            <w:tcW w:w="1718" w:type="dxa"/>
            <w:vAlign w:val="center"/>
          </w:tcPr>
          <w:p w14:paraId="5DC1F844" w14:textId="1562C2AD" w:rsidR="008C1CAB" w:rsidRPr="00D25BE7" w:rsidRDefault="008C1CAB" w:rsidP="00D25BE7">
            <w:pPr>
              <w:pStyle w:val="ListParagraph"/>
              <w:numPr>
                <w:ilvl w:val="0"/>
                <w:numId w:val="0"/>
              </w:numPr>
              <w:spacing w:before="40" w:after="40" w:line="240" w:lineRule="auto"/>
              <w:jc w:val="center"/>
              <w:rPr>
                <w:rFonts w:asciiTheme="minorHAnsi" w:hAnsiTheme="minorHAnsi" w:cs="Arial"/>
                <w:lang w:val="en-GB"/>
              </w:rPr>
            </w:pPr>
            <w:r w:rsidRPr="00D25BE7">
              <w:rPr>
                <w:rFonts w:asciiTheme="minorHAnsi" w:hAnsiTheme="minorHAnsi" w:cs="Arial"/>
                <w:sz w:val="20"/>
                <w:lang w:val="en-GB"/>
              </w:rPr>
              <w:t>100</w:t>
            </w:r>
          </w:p>
        </w:tc>
        <w:tc>
          <w:tcPr>
            <w:tcW w:w="1400" w:type="dxa"/>
            <w:vAlign w:val="center"/>
          </w:tcPr>
          <w:p w14:paraId="755E2948" w14:textId="0C730521"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31 March</w:t>
            </w:r>
          </w:p>
        </w:tc>
        <w:tc>
          <w:tcPr>
            <w:tcW w:w="1461" w:type="dxa"/>
            <w:vAlign w:val="center"/>
          </w:tcPr>
          <w:p w14:paraId="3C8F11AC" w14:textId="33837069"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31/03/2018</w:t>
            </w:r>
          </w:p>
        </w:tc>
      </w:tr>
      <w:tr w:rsidR="00973CB5" w:rsidRPr="001E16D5" w14:paraId="59982CC7" w14:textId="57A5D0B2" w:rsidTr="00A11CEC">
        <w:tc>
          <w:tcPr>
            <w:tcW w:w="7768" w:type="dxa"/>
            <w:gridSpan w:val="4"/>
            <w:shd w:val="clear" w:color="auto" w:fill="D9D9D9" w:themeFill="background1" w:themeFillShade="D9"/>
          </w:tcPr>
          <w:p w14:paraId="00D07EAC" w14:textId="64545C7A" w:rsidR="00973CB5" w:rsidRPr="00D25BE7" w:rsidRDefault="00973CB5" w:rsidP="00D25BE7">
            <w:pPr>
              <w:spacing w:before="60" w:after="60"/>
              <w:jc w:val="left"/>
              <w:rPr>
                <w:rFonts w:asciiTheme="minorHAnsi" w:hAnsiTheme="minorHAnsi" w:cs="Arial"/>
                <w:b/>
                <w:i/>
                <w:sz w:val="20"/>
                <w:lang w:val="en-GB"/>
              </w:rPr>
            </w:pPr>
            <w:r w:rsidRPr="00D25BE7">
              <w:rPr>
                <w:rFonts w:asciiTheme="minorHAnsi" w:hAnsiTheme="minorHAnsi" w:cs="Arial"/>
                <w:b/>
                <w:i/>
                <w:sz w:val="20"/>
                <w:lang w:val="en-GB"/>
              </w:rPr>
              <w:lastRenderedPageBreak/>
              <w:t>2.  Enterprises wholly or partially owned as subsidiaries/associates of LNDC</w:t>
            </w:r>
          </w:p>
        </w:tc>
        <w:tc>
          <w:tcPr>
            <w:tcW w:w="1461" w:type="dxa"/>
            <w:shd w:val="clear" w:color="auto" w:fill="D9D9D9" w:themeFill="background1" w:themeFillShade="D9"/>
          </w:tcPr>
          <w:p w14:paraId="0F441502" w14:textId="77777777" w:rsidR="00973CB5" w:rsidRPr="00D25BE7" w:rsidRDefault="00973CB5" w:rsidP="00D05B43">
            <w:pPr>
              <w:spacing w:before="120"/>
              <w:jc w:val="left"/>
              <w:rPr>
                <w:rFonts w:asciiTheme="minorHAnsi" w:hAnsiTheme="minorHAnsi" w:cs="Arial"/>
                <w:b/>
                <w:i/>
                <w:sz w:val="20"/>
                <w:lang w:val="en-GB"/>
              </w:rPr>
            </w:pPr>
          </w:p>
        </w:tc>
      </w:tr>
      <w:tr w:rsidR="008C1CAB" w:rsidRPr="001E16D5" w14:paraId="19AF5549" w14:textId="2A733011" w:rsidTr="00A11CEC">
        <w:tc>
          <w:tcPr>
            <w:tcW w:w="2524" w:type="dxa"/>
            <w:vAlign w:val="center"/>
          </w:tcPr>
          <w:p w14:paraId="671C13B8" w14:textId="107915C8" w:rsidR="008C1CAB" w:rsidRPr="00D25BE7" w:rsidRDefault="008C1CAB" w:rsidP="00D25BE7">
            <w:pPr>
              <w:pStyle w:val="ListParagraph"/>
              <w:numPr>
                <w:ilvl w:val="0"/>
                <w:numId w:val="0"/>
              </w:numPr>
              <w:spacing w:before="40" w:after="40" w:line="240" w:lineRule="auto"/>
              <w:ind w:right="889"/>
              <w:jc w:val="left"/>
              <w:rPr>
                <w:rFonts w:asciiTheme="minorHAnsi" w:hAnsiTheme="minorHAnsi" w:cs="Arial"/>
                <w:sz w:val="20"/>
                <w:lang w:val="en-GB"/>
              </w:rPr>
            </w:pPr>
            <w:r w:rsidRPr="00D25BE7">
              <w:rPr>
                <w:rFonts w:asciiTheme="minorHAnsi" w:hAnsiTheme="minorHAnsi" w:cs="Arial"/>
                <w:sz w:val="20"/>
                <w:lang w:val="en-GB"/>
              </w:rPr>
              <w:t>Loti Brick Pty Ltd</w:t>
            </w:r>
          </w:p>
        </w:tc>
        <w:tc>
          <w:tcPr>
            <w:tcW w:w="2126" w:type="dxa"/>
            <w:vAlign w:val="center"/>
          </w:tcPr>
          <w:p w14:paraId="3B2D6B10" w14:textId="7C450353"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Industrial - Brick making</w:t>
            </w:r>
          </w:p>
        </w:tc>
        <w:tc>
          <w:tcPr>
            <w:tcW w:w="1718" w:type="dxa"/>
            <w:vAlign w:val="center"/>
          </w:tcPr>
          <w:p w14:paraId="587109E5" w14:textId="7E796C68" w:rsidR="008C1CAB" w:rsidRPr="00D25BE7" w:rsidRDefault="008C1CAB" w:rsidP="00D25BE7">
            <w:pPr>
              <w:pStyle w:val="ListParagraph"/>
              <w:numPr>
                <w:ilvl w:val="0"/>
                <w:numId w:val="0"/>
              </w:numPr>
              <w:spacing w:before="40" w:after="40" w:line="240" w:lineRule="auto"/>
              <w:jc w:val="center"/>
              <w:rPr>
                <w:rFonts w:asciiTheme="minorHAnsi" w:hAnsiTheme="minorHAnsi" w:cs="Arial"/>
                <w:sz w:val="20"/>
                <w:lang w:val="en-GB"/>
              </w:rPr>
            </w:pPr>
            <w:r w:rsidRPr="00D25BE7">
              <w:rPr>
                <w:rFonts w:asciiTheme="minorHAnsi" w:hAnsiTheme="minorHAnsi" w:cs="Arial"/>
                <w:sz w:val="20"/>
                <w:lang w:val="en-GB"/>
              </w:rPr>
              <w:t>22.8 / 73.6</w:t>
            </w:r>
          </w:p>
        </w:tc>
        <w:tc>
          <w:tcPr>
            <w:tcW w:w="1400" w:type="dxa"/>
            <w:vAlign w:val="center"/>
          </w:tcPr>
          <w:p w14:paraId="0395822B" w14:textId="1802B4B4"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31 March</w:t>
            </w:r>
          </w:p>
        </w:tc>
        <w:tc>
          <w:tcPr>
            <w:tcW w:w="1461" w:type="dxa"/>
            <w:vAlign w:val="center"/>
          </w:tcPr>
          <w:p w14:paraId="2007C1A3" w14:textId="09B62FF9" w:rsidR="008C1CAB" w:rsidRPr="00D25BE7" w:rsidRDefault="00E21877"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See individual company analysis</w:t>
            </w:r>
          </w:p>
        </w:tc>
      </w:tr>
      <w:tr w:rsidR="008C1CAB" w:rsidRPr="001E16D5" w14:paraId="41E0BE8F" w14:textId="649C4C4D" w:rsidTr="00A11CEC">
        <w:tc>
          <w:tcPr>
            <w:tcW w:w="2524" w:type="dxa"/>
            <w:vAlign w:val="center"/>
          </w:tcPr>
          <w:p w14:paraId="37BFD27C" w14:textId="37218DAC" w:rsidR="008C1CAB" w:rsidRPr="00D25BE7" w:rsidRDefault="008C1CAB" w:rsidP="00D25BE7">
            <w:pPr>
              <w:pStyle w:val="ListParagraph"/>
              <w:numPr>
                <w:ilvl w:val="0"/>
                <w:numId w:val="0"/>
              </w:numPr>
              <w:spacing w:before="40" w:after="40" w:line="240" w:lineRule="auto"/>
              <w:ind w:right="412"/>
              <w:jc w:val="left"/>
              <w:rPr>
                <w:rFonts w:asciiTheme="minorHAnsi" w:hAnsiTheme="minorHAnsi" w:cs="Arial"/>
                <w:sz w:val="20"/>
                <w:lang w:val="en-GB"/>
              </w:rPr>
            </w:pPr>
            <w:proofErr w:type="spellStart"/>
            <w:r w:rsidRPr="00D25BE7">
              <w:rPr>
                <w:rFonts w:asciiTheme="minorHAnsi" w:hAnsiTheme="minorHAnsi" w:cs="Arial"/>
                <w:sz w:val="20"/>
                <w:lang w:val="en-GB"/>
              </w:rPr>
              <w:t>Maluti</w:t>
            </w:r>
            <w:proofErr w:type="spellEnd"/>
            <w:r w:rsidRPr="00D25BE7">
              <w:rPr>
                <w:rFonts w:asciiTheme="minorHAnsi" w:hAnsiTheme="minorHAnsi" w:cs="Arial"/>
                <w:sz w:val="20"/>
                <w:lang w:val="en-GB"/>
              </w:rPr>
              <w:t xml:space="preserve"> Mountain Brewery </w:t>
            </w:r>
          </w:p>
        </w:tc>
        <w:tc>
          <w:tcPr>
            <w:tcW w:w="2126" w:type="dxa"/>
            <w:vAlign w:val="center"/>
          </w:tcPr>
          <w:p w14:paraId="54FAA69A" w14:textId="3E4529D7"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 xml:space="preserve">Industrial </w:t>
            </w:r>
            <w:r w:rsidR="00757DAE" w:rsidRPr="00D25BE7">
              <w:rPr>
                <w:rFonts w:asciiTheme="minorHAnsi" w:hAnsiTheme="minorHAnsi" w:cs="Arial"/>
                <w:sz w:val="20"/>
                <w:lang w:val="en-GB"/>
              </w:rPr>
              <w:t>–</w:t>
            </w:r>
            <w:r w:rsidRPr="00D25BE7">
              <w:rPr>
                <w:rFonts w:asciiTheme="minorHAnsi" w:hAnsiTheme="minorHAnsi" w:cs="Arial"/>
                <w:sz w:val="20"/>
                <w:lang w:val="en-GB"/>
              </w:rPr>
              <w:t xml:space="preserve"> Brewing</w:t>
            </w:r>
          </w:p>
        </w:tc>
        <w:tc>
          <w:tcPr>
            <w:tcW w:w="1718" w:type="dxa"/>
            <w:vAlign w:val="center"/>
          </w:tcPr>
          <w:p w14:paraId="2ED64DB2" w14:textId="410BE09D" w:rsidR="008C1CAB" w:rsidRPr="00D25BE7" w:rsidRDefault="008C1CAB" w:rsidP="00D25BE7">
            <w:pPr>
              <w:pStyle w:val="ListParagraph"/>
              <w:numPr>
                <w:ilvl w:val="0"/>
                <w:numId w:val="0"/>
              </w:numPr>
              <w:spacing w:before="40" w:after="40" w:line="240" w:lineRule="auto"/>
              <w:jc w:val="center"/>
              <w:rPr>
                <w:rFonts w:asciiTheme="minorHAnsi" w:hAnsiTheme="minorHAnsi" w:cs="Arial"/>
                <w:sz w:val="20"/>
                <w:lang w:val="en-GB"/>
              </w:rPr>
            </w:pPr>
            <w:r w:rsidRPr="00D25BE7">
              <w:rPr>
                <w:rFonts w:asciiTheme="minorHAnsi" w:hAnsiTheme="minorHAnsi" w:cs="Arial"/>
                <w:sz w:val="20"/>
                <w:lang w:val="en-GB"/>
              </w:rPr>
              <w:t>4.75 / 51</w:t>
            </w:r>
          </w:p>
        </w:tc>
        <w:tc>
          <w:tcPr>
            <w:tcW w:w="1400" w:type="dxa"/>
            <w:vAlign w:val="center"/>
          </w:tcPr>
          <w:p w14:paraId="6E6F60C8" w14:textId="772539DA"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31 December</w:t>
            </w:r>
          </w:p>
        </w:tc>
        <w:tc>
          <w:tcPr>
            <w:tcW w:w="1461" w:type="dxa"/>
            <w:vAlign w:val="center"/>
          </w:tcPr>
          <w:p w14:paraId="5B2807C1" w14:textId="7E62F6CB"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31/12/2017</w:t>
            </w:r>
          </w:p>
        </w:tc>
      </w:tr>
      <w:tr w:rsidR="008C1CAB" w:rsidRPr="001E16D5" w14:paraId="622E6D7D" w14:textId="29BE5287" w:rsidTr="00A11CEC">
        <w:tc>
          <w:tcPr>
            <w:tcW w:w="2524" w:type="dxa"/>
            <w:vAlign w:val="center"/>
          </w:tcPr>
          <w:p w14:paraId="3519BCA1" w14:textId="0228F7C9" w:rsidR="008C1CAB" w:rsidRPr="00D25BE7" w:rsidRDefault="008C1CAB" w:rsidP="00D25BE7">
            <w:pPr>
              <w:pStyle w:val="ListParagraph"/>
              <w:numPr>
                <w:ilvl w:val="0"/>
                <w:numId w:val="0"/>
              </w:numPr>
              <w:spacing w:before="40" w:after="40" w:line="240" w:lineRule="auto"/>
              <w:ind w:right="250"/>
              <w:jc w:val="left"/>
              <w:rPr>
                <w:rFonts w:asciiTheme="minorHAnsi" w:hAnsiTheme="minorHAnsi" w:cs="Arial"/>
                <w:sz w:val="20"/>
                <w:lang w:val="en-GB"/>
              </w:rPr>
            </w:pPr>
            <w:r w:rsidRPr="00D25BE7">
              <w:rPr>
                <w:rFonts w:asciiTheme="minorHAnsi" w:hAnsiTheme="minorHAnsi" w:cs="Arial"/>
                <w:sz w:val="20"/>
                <w:lang w:val="en-GB"/>
              </w:rPr>
              <w:t xml:space="preserve">OK Bazaars (Lesotho) </w:t>
            </w:r>
            <w:r w:rsidR="00CA0ECD">
              <w:rPr>
                <w:rFonts w:asciiTheme="minorHAnsi" w:hAnsiTheme="minorHAnsi" w:cs="Arial"/>
                <w:sz w:val="20"/>
                <w:lang w:val="en-GB"/>
              </w:rPr>
              <w:t xml:space="preserve">Pty </w:t>
            </w:r>
            <w:r w:rsidRPr="00D25BE7">
              <w:rPr>
                <w:rFonts w:asciiTheme="minorHAnsi" w:hAnsiTheme="minorHAnsi" w:cs="Arial"/>
                <w:sz w:val="20"/>
                <w:lang w:val="en-GB"/>
              </w:rPr>
              <w:t>Ltd</w:t>
            </w:r>
          </w:p>
        </w:tc>
        <w:tc>
          <w:tcPr>
            <w:tcW w:w="2126" w:type="dxa"/>
            <w:vAlign w:val="center"/>
          </w:tcPr>
          <w:p w14:paraId="37664D12" w14:textId="35A2B3D8"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 xml:space="preserve">Industrial </w:t>
            </w:r>
            <w:r w:rsidR="00757DAE" w:rsidRPr="00D25BE7">
              <w:rPr>
                <w:rFonts w:asciiTheme="minorHAnsi" w:hAnsiTheme="minorHAnsi" w:cs="Arial"/>
                <w:sz w:val="20"/>
                <w:lang w:val="en-GB"/>
              </w:rPr>
              <w:t>–</w:t>
            </w:r>
            <w:r w:rsidRPr="00D25BE7">
              <w:rPr>
                <w:rFonts w:asciiTheme="minorHAnsi" w:hAnsiTheme="minorHAnsi" w:cs="Arial"/>
                <w:sz w:val="20"/>
                <w:lang w:val="en-GB"/>
              </w:rPr>
              <w:t xml:space="preserve"> Retail</w:t>
            </w:r>
          </w:p>
        </w:tc>
        <w:tc>
          <w:tcPr>
            <w:tcW w:w="1718" w:type="dxa"/>
            <w:vAlign w:val="center"/>
          </w:tcPr>
          <w:p w14:paraId="6AA78A8C" w14:textId="71B2F792" w:rsidR="008C1CAB" w:rsidRPr="00D25BE7" w:rsidRDefault="008C1CAB" w:rsidP="00D25BE7">
            <w:pPr>
              <w:pStyle w:val="ListParagraph"/>
              <w:numPr>
                <w:ilvl w:val="0"/>
                <w:numId w:val="0"/>
              </w:numPr>
              <w:spacing w:before="40" w:after="40" w:line="240" w:lineRule="auto"/>
              <w:jc w:val="center"/>
              <w:rPr>
                <w:rFonts w:asciiTheme="minorHAnsi" w:hAnsiTheme="minorHAnsi" w:cs="Arial"/>
                <w:sz w:val="20"/>
                <w:lang w:val="en-GB"/>
              </w:rPr>
            </w:pPr>
            <w:r w:rsidRPr="00D25BE7">
              <w:rPr>
                <w:rFonts w:asciiTheme="minorHAnsi" w:hAnsiTheme="minorHAnsi" w:cs="Arial"/>
                <w:sz w:val="20"/>
                <w:lang w:val="en-GB"/>
              </w:rPr>
              <w:t>50</w:t>
            </w:r>
          </w:p>
        </w:tc>
        <w:tc>
          <w:tcPr>
            <w:tcW w:w="1400" w:type="dxa"/>
            <w:vAlign w:val="center"/>
          </w:tcPr>
          <w:p w14:paraId="387B02FD" w14:textId="0C15BD14"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30 June</w:t>
            </w:r>
          </w:p>
        </w:tc>
        <w:tc>
          <w:tcPr>
            <w:tcW w:w="1461" w:type="dxa"/>
            <w:vAlign w:val="center"/>
          </w:tcPr>
          <w:p w14:paraId="0570CF9A" w14:textId="3DDA471A"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31/12/2017</w:t>
            </w:r>
          </w:p>
        </w:tc>
      </w:tr>
      <w:tr w:rsidR="008C1CAB" w:rsidRPr="001E16D5" w14:paraId="31EBD578" w14:textId="53D8F028" w:rsidTr="00A11CEC">
        <w:tc>
          <w:tcPr>
            <w:tcW w:w="2524" w:type="dxa"/>
            <w:vAlign w:val="center"/>
          </w:tcPr>
          <w:p w14:paraId="1CD4DD7F" w14:textId="577DEB5B" w:rsidR="008C1CAB" w:rsidRPr="00D25BE7" w:rsidRDefault="008C1CAB" w:rsidP="00D25BE7">
            <w:pPr>
              <w:spacing w:before="40" w:after="40"/>
              <w:jc w:val="left"/>
              <w:rPr>
                <w:rFonts w:asciiTheme="minorHAnsi" w:hAnsiTheme="minorHAnsi" w:cs="Arial"/>
                <w:sz w:val="20"/>
                <w:lang w:val="en-GB"/>
              </w:rPr>
            </w:pPr>
            <w:r w:rsidRPr="00D25BE7">
              <w:rPr>
                <w:rFonts w:asciiTheme="minorHAnsi" w:hAnsiTheme="minorHAnsi" w:cs="Arial"/>
                <w:sz w:val="20"/>
                <w:lang w:val="en-GB"/>
              </w:rPr>
              <w:t xml:space="preserve">MHG (Lesotho) Pty Ltd (t/a </w:t>
            </w:r>
            <w:proofErr w:type="spellStart"/>
            <w:r w:rsidRPr="00D25BE7">
              <w:rPr>
                <w:rFonts w:asciiTheme="minorHAnsi" w:hAnsiTheme="minorHAnsi" w:cs="Arial"/>
                <w:sz w:val="20"/>
                <w:lang w:val="en-GB"/>
              </w:rPr>
              <w:t>Avani</w:t>
            </w:r>
            <w:proofErr w:type="spellEnd"/>
            <w:r w:rsidRPr="00D25BE7">
              <w:rPr>
                <w:rFonts w:asciiTheme="minorHAnsi" w:hAnsiTheme="minorHAnsi" w:cs="Arial"/>
                <w:sz w:val="20"/>
                <w:lang w:val="en-GB"/>
              </w:rPr>
              <w:t>)</w:t>
            </w:r>
          </w:p>
        </w:tc>
        <w:tc>
          <w:tcPr>
            <w:tcW w:w="2126" w:type="dxa"/>
            <w:vAlign w:val="center"/>
          </w:tcPr>
          <w:p w14:paraId="2D421A58" w14:textId="577D0DFE"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Hotel and Casino</w:t>
            </w:r>
          </w:p>
        </w:tc>
        <w:tc>
          <w:tcPr>
            <w:tcW w:w="1718" w:type="dxa"/>
            <w:vAlign w:val="center"/>
          </w:tcPr>
          <w:p w14:paraId="5BF96733" w14:textId="3000AD9B" w:rsidR="008C1CAB" w:rsidRPr="00D25BE7" w:rsidRDefault="008C1CAB" w:rsidP="00D25BE7">
            <w:pPr>
              <w:pStyle w:val="ListParagraph"/>
              <w:numPr>
                <w:ilvl w:val="0"/>
                <w:numId w:val="0"/>
              </w:numPr>
              <w:spacing w:before="40" w:after="40" w:line="240" w:lineRule="auto"/>
              <w:jc w:val="center"/>
              <w:rPr>
                <w:rFonts w:asciiTheme="minorHAnsi" w:hAnsiTheme="minorHAnsi" w:cs="Arial"/>
                <w:sz w:val="20"/>
                <w:lang w:val="en-GB"/>
              </w:rPr>
            </w:pPr>
            <w:r w:rsidRPr="00D25BE7">
              <w:rPr>
                <w:rFonts w:asciiTheme="minorHAnsi" w:hAnsiTheme="minorHAnsi" w:cs="Arial"/>
                <w:sz w:val="20"/>
                <w:lang w:val="en-GB"/>
              </w:rPr>
              <w:t>36.4 / 16.7</w:t>
            </w:r>
          </w:p>
        </w:tc>
        <w:tc>
          <w:tcPr>
            <w:tcW w:w="1400" w:type="dxa"/>
            <w:vAlign w:val="center"/>
          </w:tcPr>
          <w:p w14:paraId="09F90970" w14:textId="0022FDA9"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31 December</w:t>
            </w:r>
          </w:p>
        </w:tc>
        <w:tc>
          <w:tcPr>
            <w:tcW w:w="1461" w:type="dxa"/>
            <w:vAlign w:val="center"/>
          </w:tcPr>
          <w:p w14:paraId="448204A0" w14:textId="79E67DEB"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31/12/2017</w:t>
            </w:r>
          </w:p>
        </w:tc>
      </w:tr>
      <w:tr w:rsidR="008C1CAB" w:rsidRPr="001E16D5" w14:paraId="0F343A1C" w14:textId="4AF83CA6" w:rsidTr="00A11CEC">
        <w:tc>
          <w:tcPr>
            <w:tcW w:w="2524" w:type="dxa"/>
            <w:vAlign w:val="center"/>
          </w:tcPr>
          <w:p w14:paraId="1CBDAFCD" w14:textId="70281F2B" w:rsidR="008C1CAB" w:rsidRPr="00D25BE7" w:rsidRDefault="008C1CAB" w:rsidP="00D25BE7">
            <w:pPr>
              <w:spacing w:before="40" w:after="40"/>
              <w:jc w:val="left"/>
              <w:rPr>
                <w:rFonts w:asciiTheme="minorHAnsi" w:hAnsiTheme="minorHAnsi" w:cs="Arial"/>
                <w:sz w:val="20"/>
                <w:lang w:val="en-GB"/>
              </w:rPr>
            </w:pPr>
            <w:r w:rsidRPr="00D25BE7">
              <w:rPr>
                <w:rFonts w:asciiTheme="minorHAnsi" w:hAnsiTheme="minorHAnsi" w:cs="Arial"/>
                <w:sz w:val="20"/>
                <w:lang w:val="en-GB"/>
              </w:rPr>
              <w:t>Lesotho Housing and Land Development Corporation (LHLDC)</w:t>
            </w:r>
          </w:p>
        </w:tc>
        <w:tc>
          <w:tcPr>
            <w:tcW w:w="2126" w:type="dxa"/>
            <w:vAlign w:val="center"/>
          </w:tcPr>
          <w:p w14:paraId="340E034C" w14:textId="719F4D86"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Property Development</w:t>
            </w:r>
          </w:p>
        </w:tc>
        <w:tc>
          <w:tcPr>
            <w:tcW w:w="1718" w:type="dxa"/>
            <w:vAlign w:val="center"/>
          </w:tcPr>
          <w:p w14:paraId="18A13A73" w14:textId="64AAF779" w:rsidR="008C1CAB" w:rsidRPr="00D25BE7" w:rsidRDefault="008C1CAB" w:rsidP="00D25BE7">
            <w:pPr>
              <w:pStyle w:val="ListParagraph"/>
              <w:numPr>
                <w:ilvl w:val="0"/>
                <w:numId w:val="0"/>
              </w:numPr>
              <w:spacing w:before="40" w:after="40" w:line="240" w:lineRule="auto"/>
              <w:jc w:val="center"/>
              <w:rPr>
                <w:rFonts w:asciiTheme="minorHAnsi" w:hAnsiTheme="minorHAnsi" w:cs="Arial"/>
                <w:sz w:val="20"/>
                <w:lang w:val="en-GB"/>
              </w:rPr>
            </w:pPr>
            <w:r w:rsidRPr="00D25BE7">
              <w:rPr>
                <w:rFonts w:asciiTheme="minorHAnsi" w:hAnsiTheme="minorHAnsi" w:cs="Arial"/>
                <w:sz w:val="20"/>
                <w:lang w:val="en-GB"/>
              </w:rPr>
              <w:t>75 / 25</w:t>
            </w:r>
          </w:p>
        </w:tc>
        <w:tc>
          <w:tcPr>
            <w:tcW w:w="1400" w:type="dxa"/>
            <w:vAlign w:val="center"/>
          </w:tcPr>
          <w:p w14:paraId="7C4C1E52" w14:textId="3CEBCD63"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31 March</w:t>
            </w:r>
          </w:p>
        </w:tc>
        <w:tc>
          <w:tcPr>
            <w:tcW w:w="1461" w:type="dxa"/>
            <w:vAlign w:val="center"/>
          </w:tcPr>
          <w:p w14:paraId="303B93EF" w14:textId="582D5C50" w:rsidR="008C1CAB" w:rsidRPr="00D25BE7" w:rsidRDefault="00303CE2"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See individual company analysis</w:t>
            </w:r>
          </w:p>
        </w:tc>
      </w:tr>
      <w:tr w:rsidR="00973CB5" w:rsidRPr="001E16D5" w14:paraId="5C5D3C00" w14:textId="05FEFE07" w:rsidTr="00A11CEC">
        <w:tc>
          <w:tcPr>
            <w:tcW w:w="7768" w:type="dxa"/>
            <w:gridSpan w:val="4"/>
            <w:shd w:val="clear" w:color="auto" w:fill="D9D9D9" w:themeFill="background1" w:themeFillShade="D9"/>
          </w:tcPr>
          <w:p w14:paraId="44892500" w14:textId="08D21C1B" w:rsidR="00973CB5" w:rsidRPr="00D25BE7" w:rsidRDefault="00270CC7" w:rsidP="00D25BE7">
            <w:pPr>
              <w:pStyle w:val="ListParagraph"/>
              <w:numPr>
                <w:ilvl w:val="0"/>
                <w:numId w:val="0"/>
              </w:numPr>
              <w:spacing w:before="60" w:after="60" w:line="240" w:lineRule="auto"/>
              <w:jc w:val="left"/>
              <w:rPr>
                <w:rFonts w:asciiTheme="minorHAnsi" w:hAnsiTheme="minorHAnsi" w:cs="Arial"/>
                <w:b/>
                <w:sz w:val="20"/>
                <w:lang w:val="en-GB"/>
              </w:rPr>
            </w:pPr>
            <w:r w:rsidRPr="00D25BE7">
              <w:rPr>
                <w:rFonts w:asciiTheme="minorHAnsi" w:hAnsiTheme="minorHAnsi" w:cs="Arial"/>
                <w:b/>
                <w:i/>
                <w:sz w:val="20"/>
                <w:lang w:val="en-GB"/>
              </w:rPr>
              <w:t>3</w:t>
            </w:r>
            <w:r w:rsidR="00973CB5" w:rsidRPr="00D25BE7">
              <w:rPr>
                <w:rFonts w:asciiTheme="minorHAnsi" w:hAnsiTheme="minorHAnsi" w:cs="Arial"/>
                <w:b/>
                <w:i/>
                <w:sz w:val="20"/>
                <w:lang w:val="en-GB"/>
              </w:rPr>
              <w:t>.  Enterprises partially owned directly by Government</w:t>
            </w:r>
          </w:p>
        </w:tc>
        <w:tc>
          <w:tcPr>
            <w:tcW w:w="1461" w:type="dxa"/>
            <w:shd w:val="clear" w:color="auto" w:fill="D9D9D9" w:themeFill="background1" w:themeFillShade="D9"/>
          </w:tcPr>
          <w:p w14:paraId="226405A5" w14:textId="77777777" w:rsidR="00973CB5" w:rsidRPr="00D25BE7" w:rsidRDefault="00973CB5" w:rsidP="00F876F2">
            <w:pPr>
              <w:pStyle w:val="ListParagraph"/>
              <w:numPr>
                <w:ilvl w:val="0"/>
                <w:numId w:val="0"/>
              </w:numPr>
              <w:spacing w:before="120" w:after="0" w:line="240" w:lineRule="auto"/>
              <w:jc w:val="left"/>
              <w:rPr>
                <w:rFonts w:asciiTheme="minorHAnsi" w:hAnsiTheme="minorHAnsi" w:cs="Arial"/>
                <w:b/>
                <w:i/>
                <w:sz w:val="20"/>
                <w:lang w:val="en-GB"/>
              </w:rPr>
            </w:pPr>
          </w:p>
        </w:tc>
      </w:tr>
      <w:tr w:rsidR="008C1CAB" w:rsidRPr="001E16D5" w14:paraId="6EC8BABE" w14:textId="72396022" w:rsidTr="00A11CEC">
        <w:tc>
          <w:tcPr>
            <w:tcW w:w="2524" w:type="dxa"/>
            <w:vAlign w:val="center"/>
          </w:tcPr>
          <w:p w14:paraId="135F8FA6" w14:textId="381E7B67" w:rsidR="008C1CAB" w:rsidRPr="00D25BE7" w:rsidRDefault="008C1CAB" w:rsidP="00D25BE7">
            <w:pPr>
              <w:pStyle w:val="ListParagraph"/>
              <w:numPr>
                <w:ilvl w:val="0"/>
                <w:numId w:val="0"/>
              </w:numPr>
              <w:spacing w:before="40" w:after="40" w:line="240" w:lineRule="auto"/>
              <w:ind w:right="392"/>
              <w:jc w:val="left"/>
              <w:rPr>
                <w:rFonts w:asciiTheme="minorHAnsi" w:hAnsiTheme="minorHAnsi" w:cs="Arial"/>
                <w:lang w:val="en-GB"/>
              </w:rPr>
            </w:pPr>
            <w:r w:rsidRPr="00D25BE7">
              <w:rPr>
                <w:rFonts w:asciiTheme="minorHAnsi" w:hAnsiTheme="minorHAnsi" w:cs="Arial"/>
                <w:sz w:val="20"/>
                <w:lang w:val="en-GB"/>
              </w:rPr>
              <w:t>Lesotho Flour Mills Ltd</w:t>
            </w:r>
          </w:p>
        </w:tc>
        <w:tc>
          <w:tcPr>
            <w:tcW w:w="2126" w:type="dxa"/>
            <w:vAlign w:val="center"/>
          </w:tcPr>
          <w:p w14:paraId="54169D68" w14:textId="1A799988"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 xml:space="preserve">Industrial </w:t>
            </w:r>
            <w:r w:rsidR="00757DAE" w:rsidRPr="00D25BE7">
              <w:rPr>
                <w:rFonts w:asciiTheme="minorHAnsi" w:hAnsiTheme="minorHAnsi" w:cs="Arial"/>
                <w:sz w:val="20"/>
                <w:lang w:val="en-GB"/>
              </w:rPr>
              <w:t>–</w:t>
            </w:r>
            <w:r w:rsidRPr="00D25BE7">
              <w:rPr>
                <w:rFonts w:asciiTheme="minorHAnsi" w:hAnsiTheme="minorHAnsi" w:cs="Arial"/>
                <w:sz w:val="20"/>
                <w:lang w:val="en-GB"/>
              </w:rPr>
              <w:t xml:space="preserve"> Milling</w:t>
            </w:r>
          </w:p>
        </w:tc>
        <w:tc>
          <w:tcPr>
            <w:tcW w:w="1718" w:type="dxa"/>
            <w:vAlign w:val="center"/>
          </w:tcPr>
          <w:p w14:paraId="02A19147" w14:textId="3077BF3D" w:rsidR="008C1CAB" w:rsidRPr="00D25BE7" w:rsidRDefault="008C1CAB" w:rsidP="00D25BE7">
            <w:pPr>
              <w:pStyle w:val="ListParagraph"/>
              <w:numPr>
                <w:ilvl w:val="0"/>
                <w:numId w:val="0"/>
              </w:numPr>
              <w:spacing w:before="40" w:after="40" w:line="240" w:lineRule="auto"/>
              <w:jc w:val="center"/>
              <w:rPr>
                <w:rFonts w:asciiTheme="minorHAnsi" w:hAnsiTheme="minorHAnsi" w:cs="Arial"/>
                <w:lang w:val="en-GB"/>
              </w:rPr>
            </w:pPr>
            <w:r w:rsidRPr="00D25BE7">
              <w:rPr>
                <w:rFonts w:asciiTheme="minorHAnsi" w:hAnsiTheme="minorHAnsi" w:cs="Arial"/>
                <w:sz w:val="20"/>
                <w:lang w:val="en-GB"/>
              </w:rPr>
              <w:t>49</w:t>
            </w:r>
          </w:p>
        </w:tc>
        <w:tc>
          <w:tcPr>
            <w:tcW w:w="1400" w:type="dxa"/>
            <w:vAlign w:val="center"/>
          </w:tcPr>
          <w:p w14:paraId="0B4EF2E4" w14:textId="7E08134E"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31 October</w:t>
            </w:r>
          </w:p>
        </w:tc>
        <w:tc>
          <w:tcPr>
            <w:tcW w:w="1461" w:type="dxa"/>
            <w:vAlign w:val="center"/>
          </w:tcPr>
          <w:p w14:paraId="1E29E659" w14:textId="4603C54E"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bookmarkStart w:id="9" w:name="OLE_LINK6"/>
            <w:r w:rsidRPr="00D25BE7">
              <w:rPr>
                <w:rFonts w:asciiTheme="minorHAnsi" w:hAnsiTheme="minorHAnsi" w:cs="Arial"/>
                <w:sz w:val="20"/>
                <w:lang w:val="en-GB"/>
              </w:rPr>
              <w:t>31/10/2017</w:t>
            </w:r>
            <w:bookmarkEnd w:id="9"/>
          </w:p>
        </w:tc>
      </w:tr>
      <w:tr w:rsidR="008C1CAB" w:rsidRPr="001E16D5" w14:paraId="445C3669" w14:textId="4876B0AF" w:rsidTr="00A11CEC">
        <w:tc>
          <w:tcPr>
            <w:tcW w:w="2524" w:type="dxa"/>
            <w:vAlign w:val="center"/>
          </w:tcPr>
          <w:p w14:paraId="478FEFBD" w14:textId="311B9667" w:rsidR="008C1CAB" w:rsidRPr="00D25BE7" w:rsidRDefault="008C1CAB" w:rsidP="00D25BE7">
            <w:pPr>
              <w:pStyle w:val="ListParagraph"/>
              <w:numPr>
                <w:ilvl w:val="0"/>
                <w:numId w:val="0"/>
              </w:numPr>
              <w:spacing w:before="40" w:after="40" w:line="240" w:lineRule="auto"/>
              <w:ind w:right="-175"/>
              <w:jc w:val="left"/>
              <w:rPr>
                <w:rFonts w:asciiTheme="minorHAnsi" w:hAnsiTheme="minorHAnsi" w:cs="Arial"/>
                <w:lang w:val="en-GB"/>
              </w:rPr>
            </w:pPr>
            <w:proofErr w:type="spellStart"/>
            <w:r w:rsidRPr="00D25BE7">
              <w:rPr>
                <w:rFonts w:asciiTheme="minorHAnsi" w:hAnsiTheme="minorHAnsi" w:cs="Arial"/>
                <w:sz w:val="20"/>
                <w:lang w:val="en-GB"/>
              </w:rPr>
              <w:t>Letseng</w:t>
            </w:r>
            <w:proofErr w:type="spellEnd"/>
            <w:r w:rsidRPr="00D25BE7">
              <w:rPr>
                <w:rFonts w:asciiTheme="minorHAnsi" w:hAnsiTheme="minorHAnsi" w:cs="Arial"/>
                <w:sz w:val="20"/>
                <w:lang w:val="en-GB"/>
              </w:rPr>
              <w:t xml:space="preserve"> Diamonds Pty Ltd</w:t>
            </w:r>
          </w:p>
        </w:tc>
        <w:tc>
          <w:tcPr>
            <w:tcW w:w="2126" w:type="dxa"/>
            <w:vAlign w:val="center"/>
          </w:tcPr>
          <w:p w14:paraId="77ECFE99" w14:textId="7814812D"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Mining</w:t>
            </w:r>
          </w:p>
        </w:tc>
        <w:tc>
          <w:tcPr>
            <w:tcW w:w="1718" w:type="dxa"/>
            <w:vAlign w:val="center"/>
          </w:tcPr>
          <w:p w14:paraId="59F024B9" w14:textId="45AC8F43" w:rsidR="008C1CAB" w:rsidRPr="00D25BE7" w:rsidRDefault="008C1CAB" w:rsidP="00D25BE7">
            <w:pPr>
              <w:pStyle w:val="ListParagraph"/>
              <w:numPr>
                <w:ilvl w:val="0"/>
                <w:numId w:val="0"/>
              </w:numPr>
              <w:spacing w:before="40" w:after="40" w:line="240" w:lineRule="auto"/>
              <w:jc w:val="center"/>
              <w:rPr>
                <w:rFonts w:asciiTheme="minorHAnsi" w:hAnsiTheme="minorHAnsi" w:cs="Arial"/>
                <w:lang w:val="en-GB"/>
              </w:rPr>
            </w:pPr>
            <w:r w:rsidRPr="00D25BE7">
              <w:rPr>
                <w:rFonts w:asciiTheme="minorHAnsi" w:hAnsiTheme="minorHAnsi" w:cs="Arial"/>
                <w:sz w:val="20"/>
                <w:lang w:val="en-GB"/>
              </w:rPr>
              <w:t>30</w:t>
            </w:r>
          </w:p>
        </w:tc>
        <w:tc>
          <w:tcPr>
            <w:tcW w:w="1400" w:type="dxa"/>
            <w:vAlign w:val="center"/>
          </w:tcPr>
          <w:p w14:paraId="6CBDB1D5" w14:textId="6F04CEBF"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31 December</w:t>
            </w:r>
          </w:p>
        </w:tc>
        <w:tc>
          <w:tcPr>
            <w:tcW w:w="1461" w:type="dxa"/>
            <w:vAlign w:val="center"/>
          </w:tcPr>
          <w:p w14:paraId="0C6506F0" w14:textId="19B52571"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31/12/2017</w:t>
            </w:r>
          </w:p>
        </w:tc>
      </w:tr>
      <w:tr w:rsidR="008C1CAB" w:rsidRPr="001E16D5" w14:paraId="0CCA13E3" w14:textId="1AC7E51B" w:rsidTr="00A11CEC">
        <w:tc>
          <w:tcPr>
            <w:tcW w:w="2524" w:type="dxa"/>
            <w:vAlign w:val="center"/>
          </w:tcPr>
          <w:p w14:paraId="002F48F8" w14:textId="5E675669"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Econet (Telecom) Lesotho Pty Ltd</w:t>
            </w:r>
          </w:p>
        </w:tc>
        <w:tc>
          <w:tcPr>
            <w:tcW w:w="2126" w:type="dxa"/>
            <w:vAlign w:val="center"/>
          </w:tcPr>
          <w:p w14:paraId="310F048F" w14:textId="33B36AE5"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Telecoms</w:t>
            </w:r>
          </w:p>
        </w:tc>
        <w:tc>
          <w:tcPr>
            <w:tcW w:w="1718" w:type="dxa"/>
            <w:vAlign w:val="center"/>
          </w:tcPr>
          <w:p w14:paraId="282EB576" w14:textId="05189AAD" w:rsidR="008C1CAB" w:rsidRPr="00D25BE7" w:rsidRDefault="008C1CAB" w:rsidP="00D25BE7">
            <w:pPr>
              <w:pStyle w:val="ListParagraph"/>
              <w:numPr>
                <w:ilvl w:val="0"/>
                <w:numId w:val="0"/>
              </w:numPr>
              <w:spacing w:before="40" w:after="40" w:line="240" w:lineRule="auto"/>
              <w:jc w:val="center"/>
              <w:rPr>
                <w:rFonts w:asciiTheme="minorHAnsi" w:hAnsiTheme="minorHAnsi" w:cs="Arial"/>
                <w:sz w:val="20"/>
                <w:lang w:val="en-GB"/>
              </w:rPr>
            </w:pPr>
            <w:r w:rsidRPr="00D25BE7">
              <w:rPr>
                <w:rFonts w:asciiTheme="minorHAnsi" w:hAnsiTheme="minorHAnsi" w:cs="Arial"/>
                <w:sz w:val="20"/>
                <w:lang w:val="en-GB"/>
              </w:rPr>
              <w:t>30</w:t>
            </w:r>
          </w:p>
        </w:tc>
        <w:tc>
          <w:tcPr>
            <w:tcW w:w="1400" w:type="dxa"/>
            <w:vAlign w:val="center"/>
          </w:tcPr>
          <w:p w14:paraId="22F42F5F" w14:textId="1BF29D44"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28 February</w:t>
            </w:r>
          </w:p>
        </w:tc>
        <w:tc>
          <w:tcPr>
            <w:tcW w:w="1461" w:type="dxa"/>
            <w:vAlign w:val="center"/>
          </w:tcPr>
          <w:p w14:paraId="01ACEDF7" w14:textId="556A2D4D" w:rsidR="008C1CAB" w:rsidRPr="00D25BE7" w:rsidRDefault="003A7FC6"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See individual company analysis</w:t>
            </w:r>
            <w:r w:rsidRPr="00D25BE7" w:rsidDel="004A26DD">
              <w:rPr>
                <w:rFonts w:asciiTheme="minorHAnsi" w:hAnsiTheme="minorHAnsi" w:cs="Segoe UI Symbol"/>
                <w:sz w:val="20"/>
                <w:lang w:val="en-GB"/>
              </w:rPr>
              <w:t xml:space="preserve"> </w:t>
            </w:r>
          </w:p>
        </w:tc>
      </w:tr>
      <w:tr w:rsidR="008C1CAB" w:rsidRPr="001E16D5" w14:paraId="745FFBD8" w14:textId="6231D633" w:rsidTr="00A11CEC">
        <w:tc>
          <w:tcPr>
            <w:tcW w:w="2524" w:type="dxa"/>
            <w:vAlign w:val="center"/>
          </w:tcPr>
          <w:p w14:paraId="07D9B62C" w14:textId="27FF8874"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Storm Mountain Diamond Mines Pty Ltd (Kao)</w:t>
            </w:r>
          </w:p>
        </w:tc>
        <w:tc>
          <w:tcPr>
            <w:tcW w:w="2126" w:type="dxa"/>
            <w:vAlign w:val="center"/>
          </w:tcPr>
          <w:p w14:paraId="462E63D7" w14:textId="2EAC75FE"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Mining</w:t>
            </w:r>
          </w:p>
        </w:tc>
        <w:tc>
          <w:tcPr>
            <w:tcW w:w="1718" w:type="dxa"/>
            <w:vAlign w:val="center"/>
          </w:tcPr>
          <w:p w14:paraId="7CB90F3C" w14:textId="29375F80" w:rsidR="008C1CAB" w:rsidRPr="00D25BE7" w:rsidRDefault="008C1CAB" w:rsidP="00D25BE7">
            <w:pPr>
              <w:pStyle w:val="ListParagraph"/>
              <w:numPr>
                <w:ilvl w:val="0"/>
                <w:numId w:val="0"/>
              </w:numPr>
              <w:spacing w:before="40" w:after="40" w:line="240" w:lineRule="auto"/>
              <w:jc w:val="center"/>
              <w:rPr>
                <w:rFonts w:asciiTheme="minorHAnsi" w:hAnsiTheme="minorHAnsi" w:cs="Arial"/>
                <w:lang w:val="en-GB"/>
              </w:rPr>
            </w:pPr>
            <w:r w:rsidRPr="00D25BE7">
              <w:rPr>
                <w:rFonts w:asciiTheme="minorHAnsi" w:hAnsiTheme="minorHAnsi" w:cs="Arial"/>
                <w:sz w:val="20"/>
                <w:lang w:val="en-GB"/>
              </w:rPr>
              <w:t>25</w:t>
            </w:r>
          </w:p>
        </w:tc>
        <w:tc>
          <w:tcPr>
            <w:tcW w:w="1400" w:type="dxa"/>
            <w:vAlign w:val="center"/>
          </w:tcPr>
          <w:p w14:paraId="628A72B9" w14:textId="540EA8B9"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 xml:space="preserve"> 31 August</w:t>
            </w:r>
          </w:p>
        </w:tc>
        <w:tc>
          <w:tcPr>
            <w:tcW w:w="1461" w:type="dxa"/>
            <w:vAlign w:val="center"/>
          </w:tcPr>
          <w:p w14:paraId="2CF34895" w14:textId="639B1911" w:rsidR="008C1CAB" w:rsidRPr="00D25BE7" w:rsidRDefault="004F122E" w:rsidP="00D25BE7">
            <w:pPr>
              <w:pStyle w:val="ListParagraph"/>
              <w:numPr>
                <w:ilvl w:val="0"/>
                <w:numId w:val="0"/>
              </w:numPr>
              <w:spacing w:before="40" w:after="40" w:line="240" w:lineRule="auto"/>
              <w:jc w:val="left"/>
              <w:rPr>
                <w:rFonts w:asciiTheme="minorHAnsi" w:hAnsiTheme="minorHAnsi" w:cs="Arial"/>
                <w:sz w:val="20"/>
                <w:lang w:val="en-GB"/>
              </w:rPr>
            </w:pPr>
            <w:r>
              <w:rPr>
                <w:rFonts w:asciiTheme="minorHAnsi" w:hAnsiTheme="minorHAnsi" w:cs="Arial"/>
                <w:sz w:val="20"/>
                <w:lang w:val="en-GB"/>
              </w:rPr>
              <w:t>31/08/2017</w:t>
            </w:r>
          </w:p>
        </w:tc>
      </w:tr>
      <w:tr w:rsidR="008C1CAB" w:rsidRPr="001E16D5" w14:paraId="25880DF6" w14:textId="0C3455BF" w:rsidTr="00A11CEC">
        <w:tc>
          <w:tcPr>
            <w:tcW w:w="2524" w:type="dxa"/>
            <w:vAlign w:val="center"/>
          </w:tcPr>
          <w:p w14:paraId="56B85A6F" w14:textId="525FE081" w:rsidR="008C1CAB" w:rsidRPr="00D25BE7" w:rsidRDefault="008C1CAB" w:rsidP="00D25BE7">
            <w:pPr>
              <w:pStyle w:val="ListParagraph"/>
              <w:numPr>
                <w:ilvl w:val="0"/>
                <w:numId w:val="0"/>
              </w:numPr>
              <w:spacing w:before="40" w:after="40" w:line="240" w:lineRule="auto"/>
              <w:ind w:right="108"/>
              <w:jc w:val="left"/>
              <w:rPr>
                <w:rFonts w:asciiTheme="minorHAnsi" w:hAnsiTheme="minorHAnsi" w:cs="Arial"/>
                <w:lang w:val="en-GB"/>
              </w:rPr>
            </w:pPr>
            <w:proofErr w:type="spellStart"/>
            <w:r w:rsidRPr="00D25BE7">
              <w:rPr>
                <w:rFonts w:asciiTheme="minorHAnsi" w:hAnsiTheme="minorHAnsi" w:cs="Arial"/>
                <w:sz w:val="20"/>
                <w:lang w:val="en-GB"/>
              </w:rPr>
              <w:t>Liqhobong</w:t>
            </w:r>
            <w:proofErr w:type="spellEnd"/>
            <w:r w:rsidRPr="00D25BE7">
              <w:rPr>
                <w:rFonts w:asciiTheme="minorHAnsi" w:hAnsiTheme="minorHAnsi" w:cs="Arial"/>
                <w:sz w:val="20"/>
                <w:lang w:val="en-GB"/>
              </w:rPr>
              <w:t xml:space="preserve"> Mining Development Company Pty Ltd</w:t>
            </w:r>
          </w:p>
        </w:tc>
        <w:tc>
          <w:tcPr>
            <w:tcW w:w="2126" w:type="dxa"/>
            <w:vAlign w:val="center"/>
          </w:tcPr>
          <w:p w14:paraId="79722C83" w14:textId="15A36BBE"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Mining</w:t>
            </w:r>
          </w:p>
        </w:tc>
        <w:tc>
          <w:tcPr>
            <w:tcW w:w="1718" w:type="dxa"/>
            <w:vAlign w:val="center"/>
          </w:tcPr>
          <w:p w14:paraId="2C2295C7" w14:textId="3969062E" w:rsidR="008C1CAB" w:rsidRPr="00D25BE7" w:rsidRDefault="008C1CAB" w:rsidP="00D25BE7">
            <w:pPr>
              <w:pStyle w:val="ListParagraph"/>
              <w:numPr>
                <w:ilvl w:val="0"/>
                <w:numId w:val="0"/>
              </w:numPr>
              <w:spacing w:before="40" w:after="40" w:line="240" w:lineRule="auto"/>
              <w:jc w:val="center"/>
              <w:rPr>
                <w:rFonts w:asciiTheme="minorHAnsi" w:hAnsiTheme="minorHAnsi" w:cs="Arial"/>
                <w:lang w:val="en-GB"/>
              </w:rPr>
            </w:pPr>
            <w:r w:rsidRPr="00D25BE7">
              <w:rPr>
                <w:rFonts w:asciiTheme="minorHAnsi" w:hAnsiTheme="minorHAnsi" w:cs="Arial"/>
                <w:sz w:val="20"/>
                <w:lang w:val="en-GB"/>
              </w:rPr>
              <w:t>25</w:t>
            </w:r>
          </w:p>
        </w:tc>
        <w:tc>
          <w:tcPr>
            <w:tcW w:w="1400" w:type="dxa"/>
            <w:vAlign w:val="center"/>
          </w:tcPr>
          <w:p w14:paraId="45D8B441" w14:textId="3E112318"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 xml:space="preserve"> 30 June</w:t>
            </w:r>
          </w:p>
        </w:tc>
        <w:tc>
          <w:tcPr>
            <w:tcW w:w="1461" w:type="dxa"/>
            <w:vAlign w:val="center"/>
          </w:tcPr>
          <w:p w14:paraId="4ECA3D27" w14:textId="023994B8" w:rsidR="008C1CAB" w:rsidRPr="00D25BE7" w:rsidRDefault="003A7FC6"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See individual company analysis</w:t>
            </w:r>
          </w:p>
        </w:tc>
      </w:tr>
      <w:tr w:rsidR="004C2B91" w:rsidRPr="001E16D5" w14:paraId="6844C1B6" w14:textId="3F98E6EC" w:rsidTr="00A11CEC">
        <w:tc>
          <w:tcPr>
            <w:tcW w:w="2524" w:type="dxa"/>
            <w:vAlign w:val="center"/>
          </w:tcPr>
          <w:p w14:paraId="65BE3348" w14:textId="676FFB63" w:rsidR="004C2B91" w:rsidRPr="00D25BE7" w:rsidRDefault="004C2B91" w:rsidP="00D25BE7">
            <w:pPr>
              <w:pStyle w:val="ListParagraph"/>
              <w:numPr>
                <w:ilvl w:val="0"/>
                <w:numId w:val="0"/>
              </w:numPr>
              <w:spacing w:before="40" w:after="40" w:line="240" w:lineRule="auto"/>
              <w:ind w:right="343"/>
              <w:jc w:val="left"/>
              <w:rPr>
                <w:rFonts w:asciiTheme="minorHAnsi" w:hAnsiTheme="minorHAnsi" w:cs="Arial"/>
                <w:lang w:val="en-GB"/>
              </w:rPr>
            </w:pPr>
            <w:r w:rsidRPr="00D25BE7">
              <w:rPr>
                <w:rFonts w:asciiTheme="minorHAnsi" w:hAnsiTheme="minorHAnsi" w:cs="Arial"/>
                <w:sz w:val="20"/>
                <w:lang w:val="en-GB"/>
              </w:rPr>
              <w:t>Lesotho National General Insurance Co Ltd</w:t>
            </w:r>
          </w:p>
        </w:tc>
        <w:tc>
          <w:tcPr>
            <w:tcW w:w="2126" w:type="dxa"/>
            <w:vAlign w:val="center"/>
          </w:tcPr>
          <w:p w14:paraId="4CC23975" w14:textId="10B3185C" w:rsidR="004C2B91" w:rsidRPr="00D25BE7" w:rsidRDefault="004C2B91"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Banking &amp; Insurance</w:t>
            </w:r>
          </w:p>
        </w:tc>
        <w:tc>
          <w:tcPr>
            <w:tcW w:w="1718" w:type="dxa"/>
            <w:vAlign w:val="center"/>
          </w:tcPr>
          <w:p w14:paraId="52231159" w14:textId="6F2C1BA5" w:rsidR="004C2B91" w:rsidRPr="00D25BE7" w:rsidRDefault="004C2B91" w:rsidP="00D25BE7">
            <w:pPr>
              <w:pStyle w:val="ListParagraph"/>
              <w:numPr>
                <w:ilvl w:val="0"/>
                <w:numId w:val="0"/>
              </w:numPr>
              <w:spacing w:before="40" w:after="40" w:line="240" w:lineRule="auto"/>
              <w:jc w:val="center"/>
              <w:rPr>
                <w:rFonts w:asciiTheme="minorHAnsi" w:hAnsiTheme="minorHAnsi" w:cs="Arial"/>
                <w:lang w:val="en-GB"/>
              </w:rPr>
            </w:pPr>
            <w:r w:rsidRPr="00D25BE7">
              <w:rPr>
                <w:rFonts w:asciiTheme="minorHAnsi" w:hAnsiTheme="minorHAnsi" w:cs="Arial"/>
                <w:sz w:val="20"/>
                <w:lang w:val="en-GB"/>
              </w:rPr>
              <w:t>20</w:t>
            </w:r>
          </w:p>
        </w:tc>
        <w:tc>
          <w:tcPr>
            <w:tcW w:w="1400" w:type="dxa"/>
            <w:vAlign w:val="center"/>
          </w:tcPr>
          <w:p w14:paraId="265D66FD" w14:textId="5E637AD7" w:rsidR="004C2B91" w:rsidRPr="00D25BE7" w:rsidRDefault="004C2B91"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 xml:space="preserve"> 31 December</w:t>
            </w:r>
          </w:p>
        </w:tc>
        <w:tc>
          <w:tcPr>
            <w:tcW w:w="1461" w:type="dxa"/>
            <w:vAlign w:val="center"/>
          </w:tcPr>
          <w:p w14:paraId="67DFB8D5" w14:textId="19DFD743" w:rsidR="004C2B91" w:rsidRPr="00D25BE7" w:rsidRDefault="004C2B91"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31/12/2017</w:t>
            </w:r>
          </w:p>
        </w:tc>
      </w:tr>
      <w:tr w:rsidR="004C2B91" w:rsidRPr="001E16D5" w14:paraId="1A13E6CD" w14:textId="0CC2C010" w:rsidTr="00A11CEC">
        <w:tc>
          <w:tcPr>
            <w:tcW w:w="2524" w:type="dxa"/>
            <w:vAlign w:val="center"/>
          </w:tcPr>
          <w:p w14:paraId="3AE5AA7C" w14:textId="4F638D73" w:rsidR="004C2B91" w:rsidRPr="00D25BE7" w:rsidRDefault="004C2B91" w:rsidP="00D25BE7">
            <w:pPr>
              <w:pStyle w:val="ListParagraph"/>
              <w:numPr>
                <w:ilvl w:val="0"/>
                <w:numId w:val="0"/>
              </w:numPr>
              <w:spacing w:before="40" w:after="40" w:line="240" w:lineRule="auto"/>
              <w:ind w:right="270"/>
              <w:jc w:val="left"/>
              <w:rPr>
                <w:rFonts w:asciiTheme="minorHAnsi" w:hAnsiTheme="minorHAnsi" w:cs="Arial"/>
                <w:lang w:val="en-GB"/>
              </w:rPr>
            </w:pPr>
            <w:r w:rsidRPr="00D25BE7">
              <w:rPr>
                <w:rFonts w:asciiTheme="minorHAnsi" w:hAnsiTheme="minorHAnsi" w:cs="Arial"/>
                <w:sz w:val="20"/>
                <w:lang w:val="en-GB"/>
              </w:rPr>
              <w:t>Lesotho National Life Assurance Co Ltd</w:t>
            </w:r>
          </w:p>
        </w:tc>
        <w:tc>
          <w:tcPr>
            <w:tcW w:w="2126" w:type="dxa"/>
            <w:vAlign w:val="center"/>
          </w:tcPr>
          <w:p w14:paraId="17CA2A85" w14:textId="205B23EB" w:rsidR="004C2B91" w:rsidRPr="00D25BE7" w:rsidRDefault="004C2B91"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Banking &amp; Insurance</w:t>
            </w:r>
          </w:p>
        </w:tc>
        <w:tc>
          <w:tcPr>
            <w:tcW w:w="1718" w:type="dxa"/>
            <w:vAlign w:val="center"/>
          </w:tcPr>
          <w:p w14:paraId="41CDF121" w14:textId="233A80DB" w:rsidR="004C2B91" w:rsidRPr="00D25BE7" w:rsidRDefault="004C2B91" w:rsidP="00D25BE7">
            <w:pPr>
              <w:pStyle w:val="ListParagraph"/>
              <w:numPr>
                <w:ilvl w:val="0"/>
                <w:numId w:val="0"/>
              </w:numPr>
              <w:spacing w:before="40" w:after="40" w:line="240" w:lineRule="auto"/>
              <w:jc w:val="center"/>
              <w:rPr>
                <w:rFonts w:asciiTheme="minorHAnsi" w:hAnsiTheme="minorHAnsi" w:cs="Arial"/>
                <w:lang w:val="en-GB"/>
              </w:rPr>
            </w:pPr>
            <w:r w:rsidRPr="00D25BE7">
              <w:rPr>
                <w:rFonts w:asciiTheme="minorHAnsi" w:hAnsiTheme="minorHAnsi" w:cs="Arial"/>
                <w:sz w:val="20"/>
                <w:lang w:val="en-GB"/>
              </w:rPr>
              <w:t>12</w:t>
            </w:r>
          </w:p>
        </w:tc>
        <w:tc>
          <w:tcPr>
            <w:tcW w:w="1400" w:type="dxa"/>
            <w:vAlign w:val="center"/>
          </w:tcPr>
          <w:p w14:paraId="14A85D67" w14:textId="296C7AB9" w:rsidR="004C2B91" w:rsidRPr="00D25BE7" w:rsidRDefault="004C2B91"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 xml:space="preserve"> 31 December</w:t>
            </w:r>
          </w:p>
        </w:tc>
        <w:tc>
          <w:tcPr>
            <w:tcW w:w="1461" w:type="dxa"/>
            <w:vAlign w:val="center"/>
          </w:tcPr>
          <w:p w14:paraId="264EE2E2" w14:textId="3B51DAFD" w:rsidR="004C2B91" w:rsidRPr="00D25BE7" w:rsidRDefault="004C2B91"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31/12/2017</w:t>
            </w:r>
          </w:p>
        </w:tc>
      </w:tr>
      <w:tr w:rsidR="008C1CAB" w:rsidRPr="001E16D5" w14:paraId="3FE5171B" w14:textId="3B62AD00" w:rsidTr="00A11CEC">
        <w:tc>
          <w:tcPr>
            <w:tcW w:w="2524" w:type="dxa"/>
            <w:vAlign w:val="center"/>
          </w:tcPr>
          <w:p w14:paraId="32C7B41C" w14:textId="02602FF4" w:rsidR="008C1CAB" w:rsidRPr="00D25BE7" w:rsidRDefault="008C1CAB" w:rsidP="00D25BE7">
            <w:pPr>
              <w:pStyle w:val="ListParagraph"/>
              <w:numPr>
                <w:ilvl w:val="0"/>
                <w:numId w:val="0"/>
              </w:numPr>
              <w:spacing w:before="40" w:after="40" w:line="240" w:lineRule="auto"/>
              <w:ind w:right="412"/>
              <w:jc w:val="left"/>
              <w:rPr>
                <w:rFonts w:asciiTheme="minorHAnsi" w:hAnsiTheme="minorHAnsi" w:cs="Arial"/>
                <w:lang w:val="en-GB"/>
              </w:rPr>
            </w:pPr>
            <w:r w:rsidRPr="00D25BE7">
              <w:rPr>
                <w:rFonts w:asciiTheme="minorHAnsi" w:hAnsiTheme="minorHAnsi" w:cs="Arial"/>
                <w:sz w:val="20"/>
                <w:lang w:val="en-GB"/>
              </w:rPr>
              <w:t>Standard Lesotho Bank</w:t>
            </w:r>
          </w:p>
        </w:tc>
        <w:tc>
          <w:tcPr>
            <w:tcW w:w="2126" w:type="dxa"/>
            <w:vAlign w:val="center"/>
          </w:tcPr>
          <w:p w14:paraId="32557149" w14:textId="672C82B0"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Banking &amp; Insurance</w:t>
            </w:r>
          </w:p>
        </w:tc>
        <w:tc>
          <w:tcPr>
            <w:tcW w:w="1718" w:type="dxa"/>
            <w:vAlign w:val="center"/>
          </w:tcPr>
          <w:p w14:paraId="12E7D291" w14:textId="4099EEB1" w:rsidR="008C1CAB" w:rsidRPr="00D25BE7" w:rsidRDefault="008C1CAB" w:rsidP="00D25BE7">
            <w:pPr>
              <w:pStyle w:val="ListParagraph"/>
              <w:numPr>
                <w:ilvl w:val="0"/>
                <w:numId w:val="0"/>
              </w:numPr>
              <w:spacing w:before="40" w:after="40" w:line="240" w:lineRule="auto"/>
              <w:jc w:val="center"/>
              <w:rPr>
                <w:rFonts w:asciiTheme="minorHAnsi" w:hAnsiTheme="minorHAnsi" w:cs="Arial"/>
                <w:lang w:val="en-GB"/>
              </w:rPr>
            </w:pPr>
            <w:r w:rsidRPr="00D25BE7">
              <w:rPr>
                <w:rFonts w:asciiTheme="minorHAnsi" w:hAnsiTheme="minorHAnsi" w:cs="Arial"/>
                <w:sz w:val="20"/>
                <w:lang w:val="en-GB"/>
              </w:rPr>
              <w:t>9.6</w:t>
            </w:r>
          </w:p>
        </w:tc>
        <w:tc>
          <w:tcPr>
            <w:tcW w:w="1400" w:type="dxa"/>
            <w:vAlign w:val="center"/>
          </w:tcPr>
          <w:p w14:paraId="6285BE5E" w14:textId="76757CF7"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 xml:space="preserve"> 31 December</w:t>
            </w:r>
          </w:p>
        </w:tc>
        <w:tc>
          <w:tcPr>
            <w:tcW w:w="1461" w:type="dxa"/>
            <w:vAlign w:val="center"/>
          </w:tcPr>
          <w:p w14:paraId="5393BBFB" w14:textId="4E4AF7D9"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31/12/2017</w:t>
            </w:r>
          </w:p>
        </w:tc>
      </w:tr>
      <w:tr w:rsidR="008C1CAB" w:rsidRPr="001E16D5" w14:paraId="5B516239" w14:textId="659F63FF" w:rsidTr="00A11CEC">
        <w:trPr>
          <w:trHeight w:val="276"/>
        </w:trPr>
        <w:tc>
          <w:tcPr>
            <w:tcW w:w="2524" w:type="dxa"/>
            <w:vAlign w:val="center"/>
          </w:tcPr>
          <w:p w14:paraId="688B4D30" w14:textId="579EF244" w:rsidR="008C1CAB" w:rsidRPr="00D25BE7" w:rsidRDefault="008C1CAB" w:rsidP="00D25BE7">
            <w:pPr>
              <w:pStyle w:val="ListParagraph"/>
              <w:numPr>
                <w:ilvl w:val="0"/>
                <w:numId w:val="0"/>
              </w:numPr>
              <w:spacing w:before="40" w:after="40" w:line="240" w:lineRule="auto"/>
              <w:ind w:right="889"/>
              <w:jc w:val="left"/>
              <w:rPr>
                <w:rFonts w:asciiTheme="minorHAnsi" w:hAnsiTheme="minorHAnsi" w:cs="Arial"/>
                <w:lang w:val="en-GB"/>
              </w:rPr>
            </w:pPr>
            <w:r w:rsidRPr="00D25BE7">
              <w:rPr>
                <w:rFonts w:asciiTheme="minorHAnsi" w:hAnsiTheme="minorHAnsi" w:cs="Arial"/>
                <w:sz w:val="20"/>
                <w:lang w:val="en-GB"/>
              </w:rPr>
              <w:t>AON Lesotho</w:t>
            </w:r>
          </w:p>
        </w:tc>
        <w:tc>
          <w:tcPr>
            <w:tcW w:w="2126" w:type="dxa"/>
            <w:vAlign w:val="center"/>
          </w:tcPr>
          <w:p w14:paraId="431D2B2A" w14:textId="2CAEA733"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Banking &amp; Insurance</w:t>
            </w:r>
          </w:p>
        </w:tc>
        <w:tc>
          <w:tcPr>
            <w:tcW w:w="1718" w:type="dxa"/>
            <w:vAlign w:val="center"/>
          </w:tcPr>
          <w:p w14:paraId="510DC658" w14:textId="0356E849" w:rsidR="008C1CAB" w:rsidRPr="00D25BE7" w:rsidRDefault="008C1CAB" w:rsidP="00D25BE7">
            <w:pPr>
              <w:pStyle w:val="ListParagraph"/>
              <w:numPr>
                <w:ilvl w:val="0"/>
                <w:numId w:val="0"/>
              </w:numPr>
              <w:spacing w:before="40" w:after="40" w:line="240" w:lineRule="auto"/>
              <w:jc w:val="center"/>
              <w:rPr>
                <w:rFonts w:asciiTheme="minorHAnsi" w:hAnsiTheme="minorHAnsi" w:cs="Arial"/>
                <w:lang w:val="en-GB"/>
              </w:rPr>
            </w:pPr>
            <w:r w:rsidRPr="00D25BE7">
              <w:rPr>
                <w:rFonts w:asciiTheme="minorHAnsi" w:hAnsiTheme="minorHAnsi" w:cs="Arial"/>
                <w:sz w:val="20"/>
                <w:lang w:val="en-GB"/>
              </w:rPr>
              <w:t>5</w:t>
            </w:r>
          </w:p>
        </w:tc>
        <w:tc>
          <w:tcPr>
            <w:tcW w:w="1400" w:type="dxa"/>
            <w:vAlign w:val="center"/>
          </w:tcPr>
          <w:p w14:paraId="187F00E0" w14:textId="14480572" w:rsidR="008C1CAB" w:rsidRPr="00D25BE7" w:rsidRDefault="008C1CAB" w:rsidP="00D25BE7">
            <w:pPr>
              <w:pStyle w:val="ListParagraph"/>
              <w:numPr>
                <w:ilvl w:val="0"/>
                <w:numId w:val="0"/>
              </w:numPr>
              <w:spacing w:before="40" w:after="40" w:line="240" w:lineRule="auto"/>
              <w:jc w:val="left"/>
              <w:rPr>
                <w:rFonts w:asciiTheme="minorHAnsi" w:hAnsiTheme="minorHAnsi" w:cs="Arial"/>
                <w:lang w:val="en-GB"/>
              </w:rPr>
            </w:pPr>
            <w:r w:rsidRPr="00D25BE7">
              <w:rPr>
                <w:rFonts w:asciiTheme="minorHAnsi" w:hAnsiTheme="minorHAnsi" w:cs="Arial"/>
                <w:sz w:val="20"/>
                <w:lang w:val="en-GB"/>
              </w:rPr>
              <w:t xml:space="preserve"> 31 December</w:t>
            </w:r>
          </w:p>
        </w:tc>
        <w:tc>
          <w:tcPr>
            <w:tcW w:w="1461" w:type="dxa"/>
            <w:vAlign w:val="center"/>
          </w:tcPr>
          <w:p w14:paraId="2ECC2958" w14:textId="2D1314CD" w:rsidR="008C1CAB" w:rsidRPr="00D25BE7" w:rsidRDefault="008C1CAB" w:rsidP="00D25BE7">
            <w:pPr>
              <w:pStyle w:val="ListParagraph"/>
              <w:numPr>
                <w:ilvl w:val="0"/>
                <w:numId w:val="0"/>
              </w:numPr>
              <w:spacing w:before="40" w:after="40" w:line="240" w:lineRule="auto"/>
              <w:jc w:val="left"/>
              <w:rPr>
                <w:rFonts w:asciiTheme="minorHAnsi" w:hAnsiTheme="minorHAnsi" w:cs="Arial"/>
                <w:sz w:val="20"/>
                <w:lang w:val="en-GB"/>
              </w:rPr>
            </w:pPr>
            <w:r w:rsidRPr="00D25BE7">
              <w:rPr>
                <w:rFonts w:asciiTheme="minorHAnsi" w:hAnsiTheme="minorHAnsi" w:cs="Arial"/>
                <w:sz w:val="20"/>
                <w:lang w:val="en-GB"/>
              </w:rPr>
              <w:t>31/12/2017</w:t>
            </w:r>
          </w:p>
        </w:tc>
      </w:tr>
    </w:tbl>
    <w:p w14:paraId="6A2321EE" w14:textId="77777777" w:rsidR="00651E1F" w:rsidRPr="00D25BE7" w:rsidRDefault="00651E1F" w:rsidP="00903C64">
      <w:pPr>
        <w:rPr>
          <w:rFonts w:asciiTheme="minorHAnsi" w:hAnsiTheme="minorHAnsi"/>
          <w:lang w:val="en-GB"/>
        </w:rPr>
      </w:pPr>
    </w:p>
    <w:p w14:paraId="47F0A42E" w14:textId="5882E352" w:rsidR="004B4D0B" w:rsidRPr="00D25BE7" w:rsidRDefault="00C32824" w:rsidP="00E512CD">
      <w:pPr>
        <w:pStyle w:val="ListParagraph"/>
        <w:ind w:left="426" w:hanging="426"/>
        <w:rPr>
          <w:rFonts w:asciiTheme="minorHAnsi" w:hAnsiTheme="minorHAnsi"/>
          <w:szCs w:val="22"/>
          <w:lang w:val="en-GB"/>
        </w:rPr>
      </w:pPr>
      <w:r w:rsidRPr="00D25BE7">
        <w:rPr>
          <w:rFonts w:asciiTheme="minorHAnsi" w:hAnsiTheme="minorHAnsi"/>
          <w:szCs w:val="22"/>
          <w:lang w:val="en-GB"/>
        </w:rPr>
        <w:t>Some</w:t>
      </w:r>
      <w:r w:rsidR="00CA356B" w:rsidRPr="00D25BE7">
        <w:rPr>
          <w:rFonts w:asciiTheme="minorHAnsi" w:hAnsiTheme="minorHAnsi"/>
          <w:szCs w:val="22"/>
          <w:lang w:val="en-GB"/>
        </w:rPr>
        <w:t xml:space="preserve"> enterprises </w:t>
      </w:r>
      <w:r w:rsidR="00F11F1F" w:rsidRPr="00D25BE7">
        <w:rPr>
          <w:rFonts w:asciiTheme="minorHAnsi" w:hAnsiTheme="minorHAnsi" w:cs="Arial"/>
          <w:szCs w:val="22"/>
          <w:lang w:val="en-GB"/>
        </w:rPr>
        <w:t xml:space="preserve">including </w:t>
      </w:r>
      <w:proofErr w:type="spellStart"/>
      <w:r w:rsidR="00F11F1F" w:rsidRPr="00D25BE7">
        <w:rPr>
          <w:rFonts w:asciiTheme="minorHAnsi" w:hAnsiTheme="minorHAnsi" w:cs="Arial"/>
          <w:szCs w:val="22"/>
          <w:lang w:val="en-GB"/>
        </w:rPr>
        <w:t>Liqhobong</w:t>
      </w:r>
      <w:proofErr w:type="spellEnd"/>
      <w:r w:rsidR="00F11F1F" w:rsidRPr="00D25BE7">
        <w:rPr>
          <w:rFonts w:asciiTheme="minorHAnsi" w:hAnsiTheme="minorHAnsi" w:cs="Arial"/>
          <w:szCs w:val="22"/>
          <w:lang w:val="en-GB"/>
        </w:rPr>
        <w:t xml:space="preserve"> Mining, BEDCO</w:t>
      </w:r>
      <w:r w:rsidR="00B07066">
        <w:rPr>
          <w:rFonts w:asciiTheme="minorHAnsi" w:hAnsiTheme="minorHAnsi" w:cs="Arial"/>
          <w:szCs w:val="22"/>
          <w:lang w:val="en-GB"/>
        </w:rPr>
        <w:t>,</w:t>
      </w:r>
      <w:r w:rsidR="00B07066" w:rsidRPr="00D25BE7">
        <w:rPr>
          <w:rFonts w:asciiTheme="minorHAnsi" w:hAnsiTheme="minorHAnsi" w:cs="Arial"/>
          <w:szCs w:val="22"/>
          <w:lang w:val="en-GB"/>
        </w:rPr>
        <w:t xml:space="preserve"> </w:t>
      </w:r>
      <w:r w:rsidR="00B07066" w:rsidRPr="00D25BE7">
        <w:rPr>
          <w:rFonts w:asciiTheme="minorHAnsi" w:hAnsiTheme="minorHAnsi"/>
          <w:szCs w:val="22"/>
          <w:lang w:val="en-GB"/>
        </w:rPr>
        <w:t xml:space="preserve">Loti Brick </w:t>
      </w:r>
      <w:r w:rsidR="00F11F1F" w:rsidRPr="00D25BE7">
        <w:rPr>
          <w:rFonts w:asciiTheme="minorHAnsi" w:hAnsiTheme="minorHAnsi" w:cs="Arial"/>
          <w:szCs w:val="22"/>
          <w:lang w:val="en-GB"/>
        </w:rPr>
        <w:t>and LHLDC</w:t>
      </w:r>
      <w:r w:rsidR="00F11F1F" w:rsidRPr="00D25BE7">
        <w:rPr>
          <w:rFonts w:asciiTheme="minorHAnsi" w:hAnsiTheme="minorHAnsi"/>
          <w:szCs w:val="22"/>
          <w:lang w:val="en-GB"/>
        </w:rPr>
        <w:t xml:space="preserve"> </w:t>
      </w:r>
      <w:r w:rsidR="00CE0181" w:rsidRPr="00D25BE7">
        <w:rPr>
          <w:rFonts w:asciiTheme="minorHAnsi" w:hAnsiTheme="minorHAnsi"/>
          <w:szCs w:val="22"/>
          <w:lang w:val="en-GB"/>
        </w:rPr>
        <w:t xml:space="preserve">are deficient in preparation of </w:t>
      </w:r>
      <w:r w:rsidR="00BE30E0" w:rsidRPr="00D25BE7">
        <w:rPr>
          <w:rFonts w:asciiTheme="minorHAnsi" w:hAnsiTheme="minorHAnsi" w:cs="Arial"/>
          <w:szCs w:val="22"/>
          <w:lang w:val="en-GB"/>
        </w:rPr>
        <w:t>financial statements</w:t>
      </w:r>
      <w:r w:rsidR="00CE0181" w:rsidRPr="00D25BE7">
        <w:rPr>
          <w:rFonts w:asciiTheme="minorHAnsi" w:hAnsiTheme="minorHAnsi" w:cs="Arial"/>
          <w:szCs w:val="22"/>
          <w:lang w:val="en-GB"/>
        </w:rPr>
        <w:t xml:space="preserve"> and completing audits, as required under the </w:t>
      </w:r>
      <w:r w:rsidRPr="00D25BE7">
        <w:rPr>
          <w:rFonts w:asciiTheme="minorHAnsi" w:hAnsiTheme="minorHAnsi" w:cs="Arial"/>
          <w:szCs w:val="22"/>
          <w:lang w:val="en-GB"/>
        </w:rPr>
        <w:t xml:space="preserve">PFMAA and </w:t>
      </w:r>
      <w:r w:rsidR="00CE0181" w:rsidRPr="00D25BE7">
        <w:rPr>
          <w:rFonts w:asciiTheme="minorHAnsi" w:hAnsiTheme="minorHAnsi" w:cs="Arial"/>
          <w:szCs w:val="22"/>
          <w:lang w:val="en-GB"/>
        </w:rPr>
        <w:t xml:space="preserve">Companies Act. </w:t>
      </w:r>
      <w:r w:rsidR="004B4D0B" w:rsidRPr="00D25BE7">
        <w:rPr>
          <w:rFonts w:asciiTheme="minorHAnsi" w:hAnsiTheme="minorHAnsi" w:cs="Arial"/>
          <w:szCs w:val="22"/>
          <w:lang w:val="en-GB"/>
        </w:rPr>
        <w:t>They have been non-compliant for more than 2 years.</w:t>
      </w:r>
    </w:p>
    <w:p w14:paraId="17804A32" w14:textId="4CA37455" w:rsidR="00CA356B" w:rsidRPr="00D25BE7" w:rsidRDefault="00BF7D70" w:rsidP="00E512CD">
      <w:pPr>
        <w:pStyle w:val="ListParagraph"/>
        <w:ind w:left="426" w:hanging="426"/>
        <w:rPr>
          <w:rFonts w:asciiTheme="minorHAnsi" w:hAnsiTheme="minorHAnsi"/>
          <w:szCs w:val="22"/>
          <w:lang w:val="en-GB"/>
        </w:rPr>
      </w:pPr>
      <w:r w:rsidRPr="00D25BE7">
        <w:rPr>
          <w:rFonts w:asciiTheme="minorHAnsi" w:hAnsiTheme="minorHAnsi" w:cs="Arial"/>
          <w:szCs w:val="22"/>
          <w:lang w:val="en-GB"/>
        </w:rPr>
        <w:t xml:space="preserve">Econet </w:t>
      </w:r>
      <w:r w:rsidR="004B4D0B" w:rsidRPr="00D25BE7">
        <w:rPr>
          <w:rFonts w:asciiTheme="minorHAnsi" w:hAnsiTheme="minorHAnsi" w:cs="Arial"/>
          <w:szCs w:val="22"/>
          <w:lang w:val="en-GB"/>
        </w:rPr>
        <w:t xml:space="preserve">(apparently) </w:t>
      </w:r>
      <w:r w:rsidR="00F11F1F" w:rsidRPr="00D25BE7">
        <w:rPr>
          <w:rFonts w:asciiTheme="minorHAnsi" w:hAnsiTheme="minorHAnsi" w:cs="Arial"/>
          <w:szCs w:val="22"/>
          <w:lang w:val="en-GB"/>
        </w:rPr>
        <w:t>ha</w:t>
      </w:r>
      <w:r w:rsidR="00B07066">
        <w:rPr>
          <w:rFonts w:asciiTheme="minorHAnsi" w:hAnsiTheme="minorHAnsi" w:cs="Arial"/>
          <w:szCs w:val="22"/>
          <w:lang w:val="en-GB"/>
        </w:rPr>
        <w:t>s</w:t>
      </w:r>
      <w:r w:rsidR="00F11F1F" w:rsidRPr="00D25BE7">
        <w:rPr>
          <w:rFonts w:asciiTheme="minorHAnsi" w:hAnsiTheme="minorHAnsi" w:cs="Arial"/>
          <w:szCs w:val="22"/>
          <w:lang w:val="en-GB"/>
        </w:rPr>
        <w:t xml:space="preserve"> </w:t>
      </w:r>
      <w:r w:rsidR="008A4BEB" w:rsidRPr="00D25BE7">
        <w:rPr>
          <w:rFonts w:asciiTheme="minorHAnsi" w:hAnsiTheme="minorHAnsi" w:cs="Arial"/>
          <w:szCs w:val="22"/>
          <w:lang w:val="en-GB"/>
        </w:rPr>
        <w:t>been audited but ha</w:t>
      </w:r>
      <w:r w:rsidR="00B07066">
        <w:rPr>
          <w:rFonts w:asciiTheme="minorHAnsi" w:hAnsiTheme="minorHAnsi" w:cs="Arial"/>
          <w:szCs w:val="22"/>
          <w:lang w:val="en-GB"/>
        </w:rPr>
        <w:t>s</w:t>
      </w:r>
      <w:r w:rsidR="008A4BEB" w:rsidRPr="00D25BE7">
        <w:rPr>
          <w:rFonts w:asciiTheme="minorHAnsi" w:hAnsiTheme="minorHAnsi" w:cs="Arial"/>
          <w:szCs w:val="22"/>
          <w:lang w:val="en-GB"/>
        </w:rPr>
        <w:t xml:space="preserve"> failed to provide</w:t>
      </w:r>
      <w:r w:rsidR="00F11F1F" w:rsidRPr="00D25BE7">
        <w:rPr>
          <w:rFonts w:asciiTheme="minorHAnsi" w:hAnsiTheme="minorHAnsi" w:cs="Arial"/>
          <w:szCs w:val="22"/>
          <w:lang w:val="en-GB"/>
        </w:rPr>
        <w:t xml:space="preserve"> the PSD with copies of the 2017/2018 AFS. </w:t>
      </w:r>
    </w:p>
    <w:p w14:paraId="40C83070" w14:textId="3057AFD6" w:rsidR="009C0DE4" w:rsidRPr="00D25BE7" w:rsidRDefault="00B07066" w:rsidP="009C0DE4">
      <w:pPr>
        <w:pStyle w:val="ListParagraph"/>
        <w:ind w:left="426" w:hanging="426"/>
        <w:rPr>
          <w:rFonts w:asciiTheme="minorHAnsi" w:hAnsiTheme="minorHAnsi"/>
          <w:szCs w:val="22"/>
          <w:lang w:val="en-GB"/>
        </w:rPr>
      </w:pPr>
      <w:r>
        <w:rPr>
          <w:rFonts w:asciiTheme="minorHAnsi" w:hAnsiTheme="minorHAnsi"/>
          <w:szCs w:val="22"/>
          <w:lang w:val="en-GB"/>
        </w:rPr>
        <w:t xml:space="preserve">There is </w:t>
      </w:r>
      <w:r w:rsidR="0014031E" w:rsidRPr="00D25BE7">
        <w:rPr>
          <w:rFonts w:asciiTheme="minorHAnsi" w:hAnsiTheme="minorHAnsi"/>
          <w:szCs w:val="22"/>
          <w:lang w:val="en-GB"/>
        </w:rPr>
        <w:t>continue</w:t>
      </w:r>
      <w:r>
        <w:rPr>
          <w:rFonts w:asciiTheme="minorHAnsi" w:hAnsiTheme="minorHAnsi"/>
          <w:szCs w:val="22"/>
          <w:lang w:val="en-GB"/>
        </w:rPr>
        <w:t xml:space="preserve">d concern as to </w:t>
      </w:r>
      <w:r w:rsidR="00202C18" w:rsidRPr="00D25BE7">
        <w:rPr>
          <w:rFonts w:asciiTheme="minorHAnsi" w:hAnsiTheme="minorHAnsi"/>
          <w:szCs w:val="22"/>
          <w:lang w:val="en-GB"/>
        </w:rPr>
        <w:t xml:space="preserve">the </w:t>
      </w:r>
      <w:r w:rsidR="0014031E" w:rsidRPr="00D25BE7">
        <w:rPr>
          <w:rFonts w:asciiTheme="minorHAnsi" w:hAnsiTheme="minorHAnsi"/>
          <w:szCs w:val="22"/>
          <w:lang w:val="en-GB"/>
        </w:rPr>
        <w:t xml:space="preserve">number </w:t>
      </w:r>
      <w:r w:rsidR="001C6933" w:rsidRPr="00D25BE7">
        <w:rPr>
          <w:rFonts w:asciiTheme="minorHAnsi" w:hAnsiTheme="minorHAnsi"/>
          <w:szCs w:val="22"/>
          <w:lang w:val="en-GB"/>
        </w:rPr>
        <w:t>of audit comments</w:t>
      </w:r>
      <w:r w:rsidR="00202C18" w:rsidRPr="00D25BE7">
        <w:rPr>
          <w:rFonts w:asciiTheme="minorHAnsi" w:hAnsiTheme="minorHAnsi"/>
          <w:szCs w:val="22"/>
          <w:lang w:val="en-GB"/>
        </w:rPr>
        <w:t xml:space="preserve"> and qualifications </w:t>
      </w:r>
      <w:r w:rsidR="00F84B7C" w:rsidRPr="00D25BE7">
        <w:rPr>
          <w:rFonts w:asciiTheme="minorHAnsi" w:hAnsiTheme="minorHAnsi"/>
          <w:szCs w:val="22"/>
          <w:lang w:val="en-GB"/>
        </w:rPr>
        <w:t xml:space="preserve">relating to </w:t>
      </w:r>
      <w:r w:rsidR="00202C18" w:rsidRPr="00D25BE7">
        <w:rPr>
          <w:rFonts w:asciiTheme="minorHAnsi" w:hAnsiTheme="minorHAnsi"/>
          <w:szCs w:val="22"/>
          <w:lang w:val="en-GB"/>
        </w:rPr>
        <w:t>the financial statements</w:t>
      </w:r>
      <w:r w:rsidR="00FB551A" w:rsidRPr="00D25BE7">
        <w:rPr>
          <w:rFonts w:asciiTheme="minorHAnsi" w:hAnsiTheme="minorHAnsi"/>
          <w:szCs w:val="22"/>
          <w:lang w:val="en-GB"/>
        </w:rPr>
        <w:t xml:space="preserve">; the frequency of prior year adjustments and some computational errors. No attempt is made to correct data. </w:t>
      </w:r>
    </w:p>
    <w:p w14:paraId="0551FB9A" w14:textId="2F015F90" w:rsidR="00335D4C" w:rsidRPr="00D25BE7" w:rsidRDefault="0014031E" w:rsidP="009C0DE4">
      <w:pPr>
        <w:pStyle w:val="ListParagraph"/>
        <w:ind w:left="426" w:hanging="426"/>
        <w:rPr>
          <w:rFonts w:asciiTheme="minorHAnsi" w:hAnsiTheme="minorHAnsi"/>
          <w:lang w:val="en-GB"/>
        </w:rPr>
      </w:pPr>
      <w:r w:rsidRPr="00D25BE7">
        <w:rPr>
          <w:rFonts w:asciiTheme="minorHAnsi" w:hAnsiTheme="minorHAnsi"/>
          <w:lang w:val="en-GB"/>
        </w:rPr>
        <w:t xml:space="preserve">The </w:t>
      </w:r>
      <w:r w:rsidR="009C0DE4" w:rsidRPr="00D25BE7">
        <w:rPr>
          <w:rFonts w:asciiTheme="minorHAnsi" w:hAnsiTheme="minorHAnsi"/>
          <w:lang w:val="en-GB"/>
        </w:rPr>
        <w:t xml:space="preserve">analysis </w:t>
      </w:r>
      <w:r w:rsidRPr="00D25BE7">
        <w:rPr>
          <w:rFonts w:asciiTheme="minorHAnsi" w:hAnsiTheme="minorHAnsi"/>
          <w:lang w:val="en-GB"/>
        </w:rPr>
        <w:t xml:space="preserve">in this report is </w:t>
      </w:r>
      <w:r w:rsidR="009C0DE4" w:rsidRPr="00D25BE7">
        <w:rPr>
          <w:rFonts w:asciiTheme="minorHAnsi" w:hAnsiTheme="minorHAnsi"/>
          <w:lang w:val="en-GB"/>
        </w:rPr>
        <w:t xml:space="preserve">focused on the AFS as submitted by the </w:t>
      </w:r>
      <w:r w:rsidR="00C63321" w:rsidRPr="00D25BE7">
        <w:rPr>
          <w:rFonts w:asciiTheme="minorHAnsi" w:hAnsiTheme="minorHAnsi"/>
          <w:lang w:val="en-GB"/>
        </w:rPr>
        <w:t xml:space="preserve">companies’ </w:t>
      </w:r>
      <w:r w:rsidR="009C0DE4" w:rsidRPr="00D25BE7">
        <w:rPr>
          <w:rFonts w:asciiTheme="minorHAnsi" w:hAnsiTheme="minorHAnsi"/>
          <w:lang w:val="en-GB"/>
        </w:rPr>
        <w:t xml:space="preserve">directors. While the number of qualified audit reports is a concern and limits total reliance on the AFS, a </w:t>
      </w:r>
      <w:r w:rsidR="009C0DE4" w:rsidRPr="00D25BE7">
        <w:rPr>
          <w:rFonts w:asciiTheme="minorHAnsi" w:hAnsiTheme="minorHAnsi"/>
          <w:lang w:val="en-GB"/>
        </w:rPr>
        <w:lastRenderedPageBreak/>
        <w:t xml:space="preserve">concerted effort in improving SOE governance and compliance with legal mandates, is expected to improve the overall reliability of the financial information provided. </w:t>
      </w:r>
    </w:p>
    <w:p w14:paraId="13409D4D" w14:textId="711FB508" w:rsidR="009C0DE4" w:rsidRPr="00D25BE7" w:rsidRDefault="00335D4C" w:rsidP="009C0DE4">
      <w:pPr>
        <w:pStyle w:val="ListParagraph"/>
        <w:ind w:left="426" w:hanging="426"/>
        <w:rPr>
          <w:rFonts w:asciiTheme="minorHAnsi" w:hAnsiTheme="minorHAnsi"/>
          <w:lang w:val="en-GB"/>
        </w:rPr>
      </w:pPr>
      <w:r w:rsidRPr="00D25BE7">
        <w:rPr>
          <w:rFonts w:asciiTheme="minorHAnsi" w:hAnsiTheme="minorHAnsi"/>
          <w:lang w:val="en-GB"/>
        </w:rPr>
        <w:t>T</w:t>
      </w:r>
      <w:r w:rsidR="00140799" w:rsidRPr="00D25BE7">
        <w:rPr>
          <w:rFonts w:asciiTheme="minorHAnsi" w:hAnsiTheme="minorHAnsi"/>
          <w:lang w:val="en-GB"/>
        </w:rPr>
        <w:t xml:space="preserve">he </w:t>
      </w:r>
      <w:r w:rsidR="009C0DE4" w:rsidRPr="00D25BE7">
        <w:rPr>
          <w:rFonts w:asciiTheme="minorHAnsi" w:hAnsiTheme="minorHAnsi"/>
          <w:lang w:val="en-GB"/>
        </w:rPr>
        <w:t xml:space="preserve">PSD </w:t>
      </w:r>
      <w:r w:rsidR="00140799" w:rsidRPr="00D25BE7">
        <w:rPr>
          <w:rFonts w:asciiTheme="minorHAnsi" w:hAnsiTheme="minorHAnsi"/>
          <w:lang w:val="en-GB"/>
        </w:rPr>
        <w:t xml:space="preserve">continues </w:t>
      </w:r>
      <w:r w:rsidR="009C0DE4" w:rsidRPr="00D25BE7">
        <w:rPr>
          <w:rFonts w:asciiTheme="minorHAnsi" w:hAnsiTheme="minorHAnsi"/>
          <w:lang w:val="en-GB"/>
        </w:rPr>
        <w:t xml:space="preserve">to increase </w:t>
      </w:r>
      <w:r w:rsidR="00140799" w:rsidRPr="00D25BE7">
        <w:rPr>
          <w:rFonts w:asciiTheme="minorHAnsi" w:hAnsiTheme="minorHAnsi"/>
          <w:lang w:val="en-GB"/>
        </w:rPr>
        <w:t xml:space="preserve">and enhance </w:t>
      </w:r>
      <w:r w:rsidR="009C0DE4" w:rsidRPr="00D25BE7">
        <w:rPr>
          <w:rFonts w:asciiTheme="minorHAnsi" w:hAnsiTheme="minorHAnsi"/>
          <w:lang w:val="en-GB"/>
        </w:rPr>
        <w:t xml:space="preserve">its </w:t>
      </w:r>
      <w:r w:rsidR="00DA421E">
        <w:rPr>
          <w:rFonts w:asciiTheme="minorHAnsi" w:hAnsiTheme="minorHAnsi"/>
          <w:lang w:val="en-GB"/>
        </w:rPr>
        <w:t>engagement</w:t>
      </w:r>
      <w:r w:rsidR="009C0DE4" w:rsidRPr="00D25BE7">
        <w:rPr>
          <w:rFonts w:asciiTheme="minorHAnsi" w:hAnsiTheme="minorHAnsi"/>
          <w:lang w:val="en-GB"/>
        </w:rPr>
        <w:t xml:space="preserve"> </w:t>
      </w:r>
      <w:r w:rsidR="00DA421E">
        <w:rPr>
          <w:rFonts w:asciiTheme="minorHAnsi" w:hAnsiTheme="minorHAnsi"/>
          <w:lang w:val="en-GB"/>
        </w:rPr>
        <w:t xml:space="preserve">with other departments </w:t>
      </w:r>
      <w:r w:rsidR="009C0DE4" w:rsidRPr="00D25BE7">
        <w:rPr>
          <w:rFonts w:asciiTheme="minorHAnsi" w:hAnsiTheme="minorHAnsi"/>
          <w:lang w:val="en-GB"/>
        </w:rPr>
        <w:t xml:space="preserve">within </w:t>
      </w:r>
      <w:proofErr w:type="spellStart"/>
      <w:r w:rsidR="009C0DE4" w:rsidRPr="00D25BE7">
        <w:rPr>
          <w:rFonts w:asciiTheme="minorHAnsi" w:hAnsiTheme="minorHAnsi"/>
          <w:lang w:val="en-GB"/>
        </w:rPr>
        <w:t>MoF</w:t>
      </w:r>
      <w:proofErr w:type="spellEnd"/>
      <w:r w:rsidR="009C0DE4" w:rsidRPr="00D25BE7">
        <w:rPr>
          <w:rFonts w:asciiTheme="minorHAnsi" w:hAnsiTheme="minorHAnsi"/>
          <w:lang w:val="en-GB"/>
        </w:rPr>
        <w:t xml:space="preserve"> to reconcile and clarify relevant inflow and outflow information with SOEs. It is important that SOE AFS and </w:t>
      </w:r>
      <w:proofErr w:type="spellStart"/>
      <w:r w:rsidR="009C0DE4" w:rsidRPr="00D25BE7">
        <w:rPr>
          <w:rFonts w:asciiTheme="minorHAnsi" w:hAnsiTheme="minorHAnsi"/>
          <w:lang w:val="en-GB"/>
        </w:rPr>
        <w:t>MoF</w:t>
      </w:r>
      <w:proofErr w:type="spellEnd"/>
      <w:r w:rsidR="009C0DE4" w:rsidRPr="00D25BE7">
        <w:rPr>
          <w:rFonts w:asciiTheme="minorHAnsi" w:hAnsiTheme="minorHAnsi"/>
          <w:lang w:val="en-GB"/>
        </w:rPr>
        <w:t xml:space="preserve"> records within the macro, debt and taxation departments are consistent</w:t>
      </w:r>
      <w:r w:rsidR="00140799" w:rsidRPr="00D25BE7">
        <w:rPr>
          <w:rFonts w:asciiTheme="minorHAnsi" w:hAnsiTheme="minorHAnsi"/>
          <w:lang w:val="en-GB"/>
        </w:rPr>
        <w:t xml:space="preserve">. In this regard </w:t>
      </w:r>
      <w:r w:rsidR="009C0DE4" w:rsidRPr="00D25BE7">
        <w:rPr>
          <w:rFonts w:asciiTheme="minorHAnsi" w:hAnsiTheme="minorHAnsi"/>
          <w:lang w:val="en-GB"/>
        </w:rPr>
        <w:t xml:space="preserve">PSD </w:t>
      </w:r>
      <w:r w:rsidR="00140799" w:rsidRPr="00D25BE7">
        <w:rPr>
          <w:rFonts w:asciiTheme="minorHAnsi" w:hAnsiTheme="minorHAnsi"/>
          <w:lang w:val="en-GB"/>
        </w:rPr>
        <w:t xml:space="preserve">is </w:t>
      </w:r>
      <w:r w:rsidR="009C0DE4" w:rsidRPr="00D25BE7">
        <w:rPr>
          <w:rFonts w:asciiTheme="minorHAnsi" w:hAnsiTheme="minorHAnsi"/>
          <w:lang w:val="en-GB"/>
        </w:rPr>
        <w:t xml:space="preserve">enhancing its role as a monitor and information-hub </w:t>
      </w:r>
      <w:r w:rsidR="00E548F0" w:rsidRPr="00D25BE7">
        <w:rPr>
          <w:rFonts w:asciiTheme="minorHAnsi" w:hAnsiTheme="minorHAnsi"/>
          <w:lang w:val="en-GB"/>
        </w:rPr>
        <w:t xml:space="preserve">relating to </w:t>
      </w:r>
      <w:r w:rsidR="009C0DE4" w:rsidRPr="00D25BE7">
        <w:rPr>
          <w:rFonts w:asciiTheme="minorHAnsi" w:hAnsiTheme="minorHAnsi"/>
          <w:lang w:val="en-GB"/>
        </w:rPr>
        <w:t xml:space="preserve">SOEs. </w:t>
      </w:r>
    </w:p>
    <w:p w14:paraId="364A126B" w14:textId="02187ED5" w:rsidR="000F5293" w:rsidRPr="00D25BE7" w:rsidRDefault="00C63321" w:rsidP="000F5293">
      <w:pPr>
        <w:pStyle w:val="ListParagraph"/>
        <w:ind w:left="426" w:hanging="426"/>
        <w:rPr>
          <w:rFonts w:asciiTheme="minorHAnsi" w:hAnsiTheme="minorHAnsi"/>
          <w:lang w:val="en-GB"/>
        </w:rPr>
      </w:pPr>
      <w:r w:rsidRPr="00D25BE7">
        <w:rPr>
          <w:rFonts w:asciiTheme="minorHAnsi" w:hAnsiTheme="minorHAnsi"/>
          <w:lang w:val="en-GB"/>
        </w:rPr>
        <w:t>T</w:t>
      </w:r>
      <w:r w:rsidR="00C55284" w:rsidRPr="00D25BE7">
        <w:rPr>
          <w:rFonts w:asciiTheme="minorHAnsi" w:hAnsiTheme="minorHAnsi"/>
          <w:lang w:val="en-GB"/>
        </w:rPr>
        <w:t xml:space="preserve">here are significant financial flows between the </w:t>
      </w:r>
      <w:r w:rsidRPr="00D25BE7">
        <w:rPr>
          <w:rFonts w:asciiTheme="minorHAnsi" w:hAnsiTheme="minorHAnsi"/>
          <w:lang w:val="en-GB"/>
        </w:rPr>
        <w:t>S</w:t>
      </w:r>
      <w:r w:rsidR="00C55284" w:rsidRPr="00D25BE7">
        <w:rPr>
          <w:rFonts w:asciiTheme="minorHAnsi" w:hAnsiTheme="minorHAnsi"/>
          <w:lang w:val="en-GB"/>
        </w:rPr>
        <w:t>tate and some SOEs</w:t>
      </w:r>
      <w:r w:rsidR="000C6EA1" w:rsidRPr="00D25BE7">
        <w:rPr>
          <w:rFonts w:asciiTheme="minorHAnsi" w:hAnsiTheme="minorHAnsi"/>
          <w:lang w:val="en-GB"/>
        </w:rPr>
        <w:t xml:space="preserve"> and invested enterprises</w:t>
      </w:r>
      <w:r w:rsidR="00C55284" w:rsidRPr="00D25BE7">
        <w:rPr>
          <w:rFonts w:asciiTheme="minorHAnsi" w:hAnsiTheme="minorHAnsi"/>
          <w:lang w:val="en-GB"/>
        </w:rPr>
        <w:t xml:space="preserve">. Such flows may be inbound, to treasury through taxes, royalties, dividends and import duties and may be outbound through direct transfers, subsidies or debt concessions. </w:t>
      </w:r>
      <w:proofErr w:type="spellStart"/>
      <w:r w:rsidR="00C55284" w:rsidRPr="00D25BE7">
        <w:rPr>
          <w:rFonts w:asciiTheme="minorHAnsi" w:hAnsiTheme="minorHAnsi"/>
          <w:lang w:val="en-GB"/>
        </w:rPr>
        <w:t>MoF</w:t>
      </w:r>
      <w:proofErr w:type="spellEnd"/>
      <w:r w:rsidR="00C55284" w:rsidRPr="00D25BE7">
        <w:rPr>
          <w:rFonts w:asciiTheme="minorHAnsi" w:hAnsiTheme="minorHAnsi"/>
          <w:lang w:val="en-GB"/>
        </w:rPr>
        <w:t xml:space="preserve"> has had difficulty coordinating the collection of relevant data and PSD does not have access to a full history of fiscal relations with SOEs. It is an on-going </w:t>
      </w:r>
      <w:r w:rsidR="00566222" w:rsidRPr="00D25BE7">
        <w:rPr>
          <w:rFonts w:asciiTheme="minorHAnsi" w:hAnsiTheme="minorHAnsi"/>
          <w:lang w:val="en-GB"/>
        </w:rPr>
        <w:t xml:space="preserve">but critical </w:t>
      </w:r>
      <w:r w:rsidR="00C55284" w:rsidRPr="00D25BE7">
        <w:rPr>
          <w:rFonts w:asciiTheme="minorHAnsi" w:hAnsiTheme="minorHAnsi"/>
          <w:lang w:val="en-GB"/>
        </w:rPr>
        <w:t>challenge to improve such data collection.</w:t>
      </w:r>
    </w:p>
    <w:p w14:paraId="39E0CC92" w14:textId="57D2A351" w:rsidR="00C55284" w:rsidRPr="00D25BE7" w:rsidRDefault="000F5293" w:rsidP="000F5293">
      <w:pPr>
        <w:pStyle w:val="ListParagraph"/>
        <w:ind w:left="426" w:hanging="426"/>
        <w:rPr>
          <w:rFonts w:asciiTheme="minorHAnsi" w:hAnsiTheme="minorHAnsi"/>
          <w:lang w:val="en-GB"/>
        </w:rPr>
      </w:pPr>
      <w:r w:rsidRPr="00D25BE7">
        <w:rPr>
          <w:rFonts w:asciiTheme="minorHAnsi" w:hAnsiTheme="minorHAnsi"/>
        </w:rPr>
        <w:t xml:space="preserve">Ultimately, PSD aims to monitor all such fiscal transactions with SOEs, including government guarantees on SOE borrowing, all duty and tax exemptions, and any other concessions and be able to comment appropriately in this annual report.     </w:t>
      </w:r>
    </w:p>
    <w:p w14:paraId="7ECD1FD3" w14:textId="11D5BC3D" w:rsidR="00A77A61" w:rsidRPr="00D25BE7" w:rsidRDefault="00C55284" w:rsidP="00A77A61">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 xml:space="preserve">Among the </w:t>
      </w:r>
      <w:r w:rsidR="009606E1" w:rsidRPr="00D25BE7">
        <w:rPr>
          <w:rFonts w:asciiTheme="minorHAnsi" w:hAnsiTheme="minorHAnsi"/>
          <w:color w:val="000000" w:themeColor="text1"/>
          <w:lang w:val="en-GB"/>
        </w:rPr>
        <w:t>three</w:t>
      </w:r>
      <w:r w:rsidRPr="00D25BE7">
        <w:rPr>
          <w:rFonts w:asciiTheme="minorHAnsi" w:hAnsiTheme="minorHAnsi"/>
          <w:color w:val="000000" w:themeColor="text1"/>
          <w:lang w:val="en-GB"/>
        </w:rPr>
        <w:t xml:space="preserve"> groups of </w:t>
      </w:r>
      <w:r w:rsidR="000C6EA1" w:rsidRPr="00D25BE7">
        <w:rPr>
          <w:rFonts w:asciiTheme="minorHAnsi" w:hAnsiTheme="minorHAnsi"/>
          <w:color w:val="000000" w:themeColor="text1"/>
          <w:lang w:val="en-GB"/>
        </w:rPr>
        <w:t>enterprises</w:t>
      </w:r>
      <w:r w:rsidR="001C16B7">
        <w:rPr>
          <w:rFonts w:asciiTheme="minorHAnsi" w:hAnsiTheme="minorHAnsi"/>
          <w:color w:val="000000" w:themeColor="text1"/>
          <w:lang w:val="en-GB"/>
        </w:rPr>
        <w:t>,</w:t>
      </w:r>
      <w:r w:rsidR="000C6EA1" w:rsidRPr="00D25BE7">
        <w:rPr>
          <w:rFonts w:asciiTheme="minorHAnsi" w:hAnsiTheme="minorHAnsi"/>
          <w:color w:val="000000" w:themeColor="text1"/>
          <w:lang w:val="en-GB"/>
        </w:rPr>
        <w:t xml:space="preserve"> </w:t>
      </w:r>
      <w:r w:rsidRPr="00D25BE7">
        <w:rPr>
          <w:rFonts w:asciiTheme="minorHAnsi" w:hAnsiTheme="minorHAnsi"/>
          <w:color w:val="000000" w:themeColor="text1"/>
          <w:lang w:val="en-GB"/>
        </w:rPr>
        <w:t xml:space="preserve">financial inflows to Government are highest from the Government minority holdings. These enterprises are </w:t>
      </w:r>
      <w:r w:rsidR="00566222" w:rsidRPr="00D25BE7">
        <w:rPr>
          <w:rFonts w:asciiTheme="minorHAnsi" w:hAnsiTheme="minorHAnsi"/>
          <w:color w:val="000000" w:themeColor="text1"/>
          <w:lang w:val="en-GB"/>
        </w:rPr>
        <w:t xml:space="preserve">commercial </w:t>
      </w:r>
      <w:r w:rsidRPr="00D25BE7">
        <w:rPr>
          <w:rFonts w:asciiTheme="minorHAnsi" w:hAnsiTheme="minorHAnsi"/>
          <w:color w:val="000000" w:themeColor="text1"/>
          <w:lang w:val="en-GB"/>
        </w:rPr>
        <w:t xml:space="preserve">companies, and through taxes </w:t>
      </w:r>
      <w:r w:rsidR="00DC1D40" w:rsidRPr="00D25BE7">
        <w:rPr>
          <w:rFonts w:asciiTheme="minorHAnsi" w:hAnsiTheme="minorHAnsi"/>
          <w:color w:val="000000" w:themeColor="text1"/>
          <w:lang w:val="en-GB"/>
        </w:rPr>
        <w:t>(as required by law)</w:t>
      </w:r>
      <w:r w:rsidRPr="00D25BE7">
        <w:rPr>
          <w:rFonts w:asciiTheme="minorHAnsi" w:hAnsiTheme="minorHAnsi"/>
          <w:color w:val="000000" w:themeColor="text1"/>
          <w:lang w:val="en-GB"/>
        </w:rPr>
        <w:t xml:space="preserve"> and dividends </w:t>
      </w:r>
      <w:r w:rsidR="004D1A84" w:rsidRPr="00D25BE7">
        <w:rPr>
          <w:rFonts w:asciiTheme="minorHAnsi" w:hAnsiTheme="minorHAnsi"/>
          <w:color w:val="000000" w:themeColor="text1"/>
          <w:lang w:val="en-GB"/>
        </w:rPr>
        <w:t>(</w:t>
      </w:r>
      <w:r w:rsidRPr="00D25BE7">
        <w:rPr>
          <w:rFonts w:asciiTheme="minorHAnsi" w:hAnsiTheme="minorHAnsi"/>
          <w:color w:val="000000" w:themeColor="text1"/>
          <w:lang w:val="en-GB"/>
        </w:rPr>
        <w:t>as required by shareholders</w:t>
      </w:r>
      <w:r w:rsidR="004D1A84" w:rsidRPr="00D25BE7">
        <w:rPr>
          <w:rFonts w:asciiTheme="minorHAnsi" w:hAnsiTheme="minorHAnsi"/>
          <w:color w:val="000000" w:themeColor="text1"/>
          <w:lang w:val="en-GB"/>
        </w:rPr>
        <w:t>)</w:t>
      </w:r>
      <w:r w:rsidRPr="00D25BE7">
        <w:rPr>
          <w:rFonts w:asciiTheme="minorHAnsi" w:hAnsiTheme="minorHAnsi"/>
          <w:color w:val="000000" w:themeColor="text1"/>
          <w:lang w:val="en-GB"/>
        </w:rPr>
        <w:t>, Government derive</w:t>
      </w:r>
      <w:r w:rsidR="00566222" w:rsidRPr="00D25BE7">
        <w:rPr>
          <w:rFonts w:asciiTheme="minorHAnsi" w:hAnsiTheme="minorHAnsi"/>
          <w:color w:val="000000" w:themeColor="text1"/>
          <w:lang w:val="en-GB"/>
        </w:rPr>
        <w:t>s</w:t>
      </w:r>
      <w:r w:rsidRPr="00D25BE7">
        <w:rPr>
          <w:rFonts w:asciiTheme="minorHAnsi" w:hAnsiTheme="minorHAnsi"/>
          <w:color w:val="000000" w:themeColor="text1"/>
          <w:lang w:val="en-GB"/>
        </w:rPr>
        <w:t xml:space="preserve"> significant income</w:t>
      </w:r>
      <w:r w:rsidR="009606E1" w:rsidRPr="00D25BE7">
        <w:rPr>
          <w:rStyle w:val="FootnoteReference"/>
          <w:rFonts w:asciiTheme="minorHAnsi" w:hAnsiTheme="minorHAnsi"/>
          <w:color w:val="000000" w:themeColor="text1"/>
          <w:lang w:val="en-GB"/>
        </w:rPr>
        <w:footnoteReference w:id="3"/>
      </w:r>
      <w:r w:rsidRPr="00D25BE7">
        <w:rPr>
          <w:rFonts w:asciiTheme="minorHAnsi" w:hAnsiTheme="minorHAnsi"/>
          <w:color w:val="000000" w:themeColor="text1"/>
          <w:lang w:val="en-GB"/>
        </w:rPr>
        <w:t>.</w:t>
      </w:r>
      <w:r w:rsidR="005E7DB4" w:rsidRPr="00D25BE7">
        <w:rPr>
          <w:rFonts w:asciiTheme="minorHAnsi" w:hAnsiTheme="minorHAnsi"/>
          <w:color w:val="000000" w:themeColor="text1"/>
          <w:lang w:val="en-GB"/>
        </w:rPr>
        <w:t xml:space="preserve"> However,</w:t>
      </w:r>
      <w:r w:rsidRPr="00D25BE7">
        <w:rPr>
          <w:rFonts w:asciiTheme="minorHAnsi" w:hAnsiTheme="minorHAnsi"/>
          <w:color w:val="000000" w:themeColor="text1"/>
          <w:lang w:val="en-GB"/>
        </w:rPr>
        <w:t xml:space="preserve"> while inflows</w:t>
      </w:r>
      <w:r w:rsidR="005E7DB4" w:rsidRPr="00D25BE7">
        <w:rPr>
          <w:rFonts w:asciiTheme="minorHAnsi" w:hAnsiTheme="minorHAnsi"/>
          <w:color w:val="000000" w:themeColor="text1"/>
          <w:lang w:val="en-GB"/>
        </w:rPr>
        <w:t xml:space="preserve"> from this group</w:t>
      </w:r>
      <w:r w:rsidRPr="00D25BE7">
        <w:rPr>
          <w:rFonts w:asciiTheme="minorHAnsi" w:hAnsiTheme="minorHAnsi"/>
          <w:color w:val="000000" w:themeColor="text1"/>
          <w:lang w:val="en-GB"/>
        </w:rPr>
        <w:t xml:space="preserve"> have been increasing in recent years </w:t>
      </w:r>
      <w:r w:rsidR="00566222" w:rsidRPr="00D25BE7">
        <w:rPr>
          <w:rFonts w:asciiTheme="minorHAnsi" w:hAnsiTheme="minorHAnsi"/>
          <w:color w:val="000000" w:themeColor="text1"/>
          <w:lang w:val="en-GB"/>
        </w:rPr>
        <w:t xml:space="preserve">it is inconsistent </w:t>
      </w:r>
      <w:r w:rsidR="00976F98" w:rsidRPr="00D25BE7">
        <w:rPr>
          <w:rFonts w:asciiTheme="minorHAnsi" w:hAnsiTheme="minorHAnsi"/>
          <w:color w:val="000000" w:themeColor="text1"/>
          <w:lang w:val="en-GB"/>
        </w:rPr>
        <w:t>(</w:t>
      </w:r>
      <w:proofErr w:type="spellStart"/>
      <w:r w:rsidR="00976F98" w:rsidRPr="00D25BE7">
        <w:rPr>
          <w:rFonts w:asciiTheme="minorHAnsi" w:hAnsiTheme="minorHAnsi"/>
          <w:color w:val="000000" w:themeColor="text1"/>
          <w:lang w:val="en-GB"/>
        </w:rPr>
        <w:t>Letseng</w:t>
      </w:r>
      <w:proofErr w:type="spellEnd"/>
      <w:r w:rsidR="00976F98" w:rsidRPr="00D25BE7">
        <w:rPr>
          <w:rFonts w:asciiTheme="minorHAnsi" w:hAnsiTheme="minorHAnsi"/>
          <w:color w:val="000000" w:themeColor="text1"/>
          <w:lang w:val="en-GB"/>
        </w:rPr>
        <w:t xml:space="preserve"> Diamonds paid no dividends in 2017/2018 and LFM and MHG dividend declarations are at best ‘</w:t>
      </w:r>
      <w:r w:rsidR="00A77A61" w:rsidRPr="00D25BE7">
        <w:rPr>
          <w:rFonts w:asciiTheme="minorHAnsi" w:hAnsiTheme="minorHAnsi"/>
          <w:color w:val="000000" w:themeColor="text1"/>
          <w:lang w:val="en-GB"/>
        </w:rPr>
        <w:t>sporadic</w:t>
      </w:r>
      <w:r w:rsidR="00976F98" w:rsidRPr="00D25BE7">
        <w:rPr>
          <w:rFonts w:asciiTheme="minorHAnsi" w:hAnsiTheme="minorHAnsi"/>
          <w:color w:val="000000" w:themeColor="text1"/>
          <w:lang w:val="en-GB"/>
        </w:rPr>
        <w:t xml:space="preserve">’). </w:t>
      </w:r>
      <w:r w:rsidR="00A77A61" w:rsidRPr="00D25BE7">
        <w:rPr>
          <w:rFonts w:asciiTheme="minorHAnsi" w:hAnsiTheme="minorHAnsi"/>
          <w:color w:val="000000" w:themeColor="text1"/>
          <w:lang w:val="en-GB"/>
        </w:rPr>
        <w:t>T</w:t>
      </w:r>
      <w:r w:rsidRPr="00D25BE7">
        <w:rPr>
          <w:rFonts w:asciiTheme="minorHAnsi" w:hAnsiTheme="minorHAnsi"/>
          <w:color w:val="000000" w:themeColor="text1"/>
          <w:lang w:val="en-GB"/>
        </w:rPr>
        <w:t xml:space="preserve">here is concern that even better returns to Government are undermined by issues of transfer </w:t>
      </w:r>
      <w:proofErr w:type="gramStart"/>
      <w:r w:rsidR="00A77A61" w:rsidRPr="00D25BE7">
        <w:rPr>
          <w:rFonts w:asciiTheme="minorHAnsi" w:hAnsiTheme="minorHAnsi"/>
          <w:color w:val="000000" w:themeColor="text1"/>
          <w:lang w:val="en-GB"/>
        </w:rPr>
        <w:t>mis-</w:t>
      </w:r>
      <w:r w:rsidRPr="00D25BE7">
        <w:rPr>
          <w:rFonts w:asciiTheme="minorHAnsi" w:hAnsiTheme="minorHAnsi"/>
          <w:color w:val="000000" w:themeColor="text1"/>
          <w:lang w:val="en-GB"/>
        </w:rPr>
        <w:t>pricing</w:t>
      </w:r>
      <w:proofErr w:type="gramEnd"/>
      <w:r w:rsidRPr="00D25BE7">
        <w:rPr>
          <w:rStyle w:val="FootnoteReference"/>
          <w:rFonts w:asciiTheme="minorHAnsi" w:hAnsiTheme="minorHAnsi"/>
          <w:color w:val="000000" w:themeColor="text1"/>
          <w:lang w:val="en-GB"/>
        </w:rPr>
        <w:footnoteReference w:id="4"/>
      </w:r>
      <w:r w:rsidRPr="00D25BE7">
        <w:rPr>
          <w:rFonts w:asciiTheme="minorHAnsi" w:hAnsiTheme="minorHAnsi"/>
          <w:color w:val="000000" w:themeColor="text1"/>
          <w:lang w:val="en-GB"/>
        </w:rPr>
        <w:t xml:space="preserve">. </w:t>
      </w:r>
    </w:p>
    <w:p w14:paraId="309EA9DE" w14:textId="591D61F7" w:rsidR="004D1A84" w:rsidRPr="00D25BE7" w:rsidRDefault="00C55284" w:rsidP="00A77A61">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 xml:space="preserve">Monitoring of minority holdings is </w:t>
      </w:r>
      <w:r w:rsidR="00A77A61" w:rsidRPr="00D25BE7">
        <w:rPr>
          <w:rFonts w:asciiTheme="minorHAnsi" w:hAnsiTheme="minorHAnsi"/>
          <w:color w:val="000000" w:themeColor="text1"/>
          <w:lang w:val="en-GB"/>
        </w:rPr>
        <w:t xml:space="preserve">primarily </w:t>
      </w:r>
      <w:r w:rsidR="00F25F24" w:rsidRPr="00D25BE7">
        <w:rPr>
          <w:rFonts w:asciiTheme="minorHAnsi" w:hAnsiTheme="minorHAnsi"/>
          <w:color w:val="000000" w:themeColor="text1"/>
          <w:lang w:val="en-GB"/>
        </w:rPr>
        <w:t>limited</w:t>
      </w:r>
      <w:r w:rsidRPr="00D25BE7">
        <w:rPr>
          <w:rFonts w:asciiTheme="minorHAnsi" w:hAnsiTheme="minorHAnsi"/>
          <w:color w:val="000000" w:themeColor="text1"/>
          <w:lang w:val="en-GB"/>
        </w:rPr>
        <w:t xml:space="preserve"> to ensur</w:t>
      </w:r>
      <w:r w:rsidR="00F25F24" w:rsidRPr="00D25BE7">
        <w:rPr>
          <w:rFonts w:asciiTheme="minorHAnsi" w:hAnsiTheme="minorHAnsi"/>
          <w:color w:val="000000" w:themeColor="text1"/>
          <w:lang w:val="en-GB"/>
        </w:rPr>
        <w:t>ing</w:t>
      </w:r>
      <w:r w:rsidRPr="00D25BE7">
        <w:rPr>
          <w:rFonts w:asciiTheme="minorHAnsi" w:hAnsiTheme="minorHAnsi"/>
          <w:color w:val="000000" w:themeColor="text1"/>
          <w:lang w:val="en-GB"/>
        </w:rPr>
        <w:t xml:space="preserve"> that adequate returns are being generated and received</w:t>
      </w:r>
      <w:r w:rsidR="00164A1B" w:rsidRPr="00D25BE7">
        <w:rPr>
          <w:rFonts w:asciiTheme="minorHAnsi" w:hAnsiTheme="minorHAnsi"/>
          <w:color w:val="000000" w:themeColor="text1"/>
          <w:lang w:val="en-GB"/>
        </w:rPr>
        <w:t>.</w:t>
      </w:r>
      <w:r w:rsidRPr="00D25BE7">
        <w:rPr>
          <w:rFonts w:asciiTheme="minorHAnsi" w:hAnsiTheme="minorHAnsi"/>
          <w:color w:val="000000" w:themeColor="text1"/>
          <w:lang w:val="en-GB"/>
        </w:rPr>
        <w:t xml:space="preserve"> </w:t>
      </w:r>
      <w:r w:rsidR="00DC7357" w:rsidRPr="00D25BE7">
        <w:rPr>
          <w:rFonts w:asciiTheme="minorHAnsi" w:hAnsiTheme="minorHAnsi"/>
          <w:color w:val="000000" w:themeColor="text1"/>
          <w:lang w:val="en-GB"/>
        </w:rPr>
        <w:t>In some cases t</w:t>
      </w:r>
      <w:r w:rsidRPr="00D25BE7">
        <w:rPr>
          <w:rFonts w:asciiTheme="minorHAnsi" w:hAnsiTheme="minorHAnsi"/>
          <w:color w:val="000000" w:themeColor="text1"/>
          <w:lang w:val="en-GB"/>
        </w:rPr>
        <w:t xml:space="preserve">his involves </w:t>
      </w:r>
      <w:r w:rsidR="00F25F24" w:rsidRPr="00D25BE7">
        <w:rPr>
          <w:rFonts w:asciiTheme="minorHAnsi" w:hAnsiTheme="minorHAnsi"/>
          <w:color w:val="000000" w:themeColor="text1"/>
          <w:lang w:val="en-GB"/>
        </w:rPr>
        <w:t>reviewing and updating</w:t>
      </w:r>
      <w:r w:rsidRPr="00D25BE7">
        <w:rPr>
          <w:rFonts w:asciiTheme="minorHAnsi" w:hAnsiTheme="minorHAnsi"/>
          <w:color w:val="000000" w:themeColor="text1"/>
          <w:lang w:val="en-GB"/>
        </w:rPr>
        <w:t xml:space="preserve"> any agreements in place relating to the shareholding arrangements and management </w:t>
      </w:r>
      <w:r w:rsidR="00164A1B" w:rsidRPr="00D25BE7">
        <w:rPr>
          <w:rFonts w:asciiTheme="minorHAnsi" w:hAnsiTheme="minorHAnsi"/>
          <w:color w:val="000000" w:themeColor="text1"/>
          <w:lang w:val="en-GB"/>
        </w:rPr>
        <w:t>contracts (where they exist)</w:t>
      </w:r>
      <w:r w:rsidR="00A24257">
        <w:rPr>
          <w:rFonts w:asciiTheme="minorHAnsi" w:hAnsiTheme="minorHAnsi"/>
          <w:color w:val="000000" w:themeColor="text1"/>
          <w:lang w:val="en-GB"/>
        </w:rPr>
        <w:t xml:space="preserve"> </w:t>
      </w:r>
      <w:r w:rsidR="00164A1B" w:rsidRPr="00D25BE7">
        <w:rPr>
          <w:rFonts w:asciiTheme="minorHAnsi" w:hAnsiTheme="minorHAnsi"/>
          <w:color w:val="000000" w:themeColor="text1"/>
          <w:lang w:val="en-GB"/>
        </w:rPr>
        <w:t>to ensure</w:t>
      </w:r>
      <w:r w:rsidRPr="00D25BE7">
        <w:rPr>
          <w:rFonts w:asciiTheme="minorHAnsi" w:hAnsiTheme="minorHAnsi"/>
          <w:color w:val="000000" w:themeColor="text1"/>
          <w:lang w:val="en-GB"/>
        </w:rPr>
        <w:t xml:space="preserve"> reasonable </w:t>
      </w:r>
      <w:r w:rsidR="00F436F5" w:rsidRPr="00D25BE7">
        <w:rPr>
          <w:rFonts w:asciiTheme="minorHAnsi" w:hAnsiTheme="minorHAnsi"/>
          <w:color w:val="000000" w:themeColor="text1"/>
          <w:lang w:val="en-GB"/>
        </w:rPr>
        <w:t>parity</w:t>
      </w:r>
      <w:r w:rsidRPr="00D25BE7">
        <w:rPr>
          <w:rFonts w:asciiTheme="minorHAnsi" w:hAnsiTheme="minorHAnsi"/>
          <w:color w:val="000000" w:themeColor="text1"/>
          <w:lang w:val="en-GB"/>
        </w:rPr>
        <w:t xml:space="preserve"> </w:t>
      </w:r>
      <w:r w:rsidR="005E7DB4" w:rsidRPr="00D25BE7">
        <w:rPr>
          <w:rFonts w:asciiTheme="minorHAnsi" w:hAnsiTheme="minorHAnsi"/>
          <w:color w:val="000000" w:themeColor="text1"/>
          <w:lang w:val="en-GB"/>
        </w:rPr>
        <w:t>for</w:t>
      </w:r>
      <w:r w:rsidRPr="00D25BE7">
        <w:rPr>
          <w:rFonts w:asciiTheme="minorHAnsi" w:hAnsiTheme="minorHAnsi"/>
          <w:color w:val="000000" w:themeColor="text1"/>
          <w:lang w:val="en-GB"/>
        </w:rPr>
        <w:t xml:space="preserve"> all parties</w:t>
      </w:r>
      <w:r w:rsidR="00F25F24" w:rsidRPr="00D25BE7">
        <w:rPr>
          <w:rFonts w:asciiTheme="minorHAnsi" w:hAnsiTheme="minorHAnsi"/>
          <w:color w:val="000000" w:themeColor="text1"/>
          <w:lang w:val="en-GB"/>
        </w:rPr>
        <w:t xml:space="preserve"> - m</w:t>
      </w:r>
      <w:r w:rsidRPr="00D25BE7">
        <w:rPr>
          <w:rFonts w:asciiTheme="minorHAnsi" w:hAnsiTheme="minorHAnsi"/>
          <w:color w:val="000000" w:themeColor="text1"/>
          <w:lang w:val="en-GB"/>
        </w:rPr>
        <w:t>anage</w:t>
      </w:r>
      <w:r w:rsidR="00F25F24" w:rsidRPr="00D25BE7">
        <w:rPr>
          <w:rFonts w:asciiTheme="minorHAnsi" w:hAnsiTheme="minorHAnsi"/>
          <w:color w:val="000000" w:themeColor="text1"/>
          <w:lang w:val="en-GB"/>
        </w:rPr>
        <w:t>ment</w:t>
      </w:r>
      <w:r w:rsidRPr="00D25BE7">
        <w:rPr>
          <w:rFonts w:asciiTheme="minorHAnsi" w:hAnsiTheme="minorHAnsi"/>
          <w:color w:val="000000" w:themeColor="text1"/>
          <w:lang w:val="en-GB"/>
        </w:rPr>
        <w:t xml:space="preserve"> are remunerated while capital providers are adequately compensated. Broadly, this necessitates such agreements being structured on a performance or incentive basis</w:t>
      </w:r>
      <w:r w:rsidR="004D1A84" w:rsidRPr="00D25BE7">
        <w:rPr>
          <w:rFonts w:asciiTheme="minorHAnsi" w:hAnsiTheme="minorHAnsi"/>
          <w:color w:val="000000" w:themeColor="text1"/>
          <w:lang w:val="en-GB"/>
        </w:rPr>
        <w:t>, which is currently not the case and is an issue that needs to be addressed.</w:t>
      </w:r>
    </w:p>
    <w:p w14:paraId="51A4C9DC" w14:textId="07DE1E73" w:rsidR="00C55284" w:rsidRPr="00D25BE7" w:rsidRDefault="00C55284" w:rsidP="00D25BE7">
      <w:pPr>
        <w:rPr>
          <w:rFonts w:asciiTheme="minorHAnsi" w:hAnsiTheme="minorHAnsi"/>
          <w:color w:val="000000" w:themeColor="text1"/>
          <w:lang w:val="en-GB"/>
        </w:rPr>
      </w:pPr>
    </w:p>
    <w:p w14:paraId="755FE5B4" w14:textId="4E4C3F32" w:rsidR="0035659C" w:rsidRPr="00D25BE7" w:rsidRDefault="004516B2" w:rsidP="00105E5F">
      <w:pPr>
        <w:pStyle w:val="Heading1"/>
        <w:rPr>
          <w:rFonts w:asciiTheme="minorHAnsi" w:hAnsiTheme="minorHAnsi"/>
        </w:rPr>
      </w:pPr>
      <w:bookmarkStart w:id="10" w:name="_Toc455467800"/>
      <w:r w:rsidRPr="00D25BE7">
        <w:rPr>
          <w:rFonts w:asciiTheme="minorHAnsi" w:hAnsiTheme="minorHAnsi"/>
        </w:rPr>
        <w:t xml:space="preserve">OVERALL </w:t>
      </w:r>
      <w:r w:rsidR="003A6862" w:rsidRPr="00D25BE7">
        <w:rPr>
          <w:rFonts w:asciiTheme="minorHAnsi" w:hAnsiTheme="minorHAnsi"/>
        </w:rPr>
        <w:t>PORTFOLIO</w:t>
      </w:r>
      <w:r w:rsidR="009B2BBA" w:rsidRPr="00D25BE7">
        <w:rPr>
          <w:rFonts w:asciiTheme="minorHAnsi" w:hAnsiTheme="minorHAnsi"/>
        </w:rPr>
        <w:t xml:space="preserve"> PERFORMANCE TO FY201</w:t>
      </w:r>
      <w:r w:rsidR="004D1A84" w:rsidRPr="00D25BE7">
        <w:rPr>
          <w:rFonts w:asciiTheme="minorHAnsi" w:hAnsiTheme="minorHAnsi"/>
        </w:rPr>
        <w:t>8</w:t>
      </w:r>
      <w:bookmarkEnd w:id="10"/>
    </w:p>
    <w:p w14:paraId="147AFEDD" w14:textId="0952F3D5" w:rsidR="00F977A4" w:rsidRPr="00D25BE7" w:rsidRDefault="00F977A4" w:rsidP="00F977A4">
      <w:pPr>
        <w:rPr>
          <w:rFonts w:asciiTheme="minorHAnsi" w:hAnsiTheme="minorHAnsi"/>
          <w:b/>
          <w:i/>
          <w:sz w:val="20"/>
        </w:rPr>
      </w:pPr>
      <w:r w:rsidRPr="00D25BE7">
        <w:rPr>
          <w:rFonts w:asciiTheme="minorHAnsi" w:hAnsiTheme="minorHAnsi"/>
          <w:b/>
          <w:i/>
          <w:sz w:val="20"/>
        </w:rPr>
        <w:t>Note:  All figures (unless otherwise stated) in M’000s</w:t>
      </w:r>
    </w:p>
    <w:p w14:paraId="2B374DA9" w14:textId="77777777" w:rsidR="00F977A4" w:rsidRPr="00D25BE7" w:rsidRDefault="00F977A4" w:rsidP="00F977A4">
      <w:pPr>
        <w:rPr>
          <w:rFonts w:asciiTheme="minorHAnsi" w:hAnsiTheme="minorHAnsi"/>
        </w:rPr>
      </w:pPr>
    </w:p>
    <w:p w14:paraId="76A426AC" w14:textId="5CC0B220" w:rsidR="000206F4" w:rsidRPr="00D25BE7" w:rsidRDefault="00FC2BE3" w:rsidP="00D9270B">
      <w:pPr>
        <w:pStyle w:val="ListParagraph"/>
        <w:ind w:left="426" w:hanging="426"/>
        <w:rPr>
          <w:rFonts w:asciiTheme="minorHAnsi" w:hAnsiTheme="minorHAnsi"/>
          <w:color w:val="000000" w:themeColor="text1"/>
          <w:lang w:val="en-GB"/>
        </w:rPr>
      </w:pPr>
      <w:r w:rsidRPr="00D25BE7">
        <w:rPr>
          <w:rFonts w:asciiTheme="minorHAnsi" w:hAnsiTheme="minorHAnsi"/>
          <w:lang w:val="en-GB"/>
        </w:rPr>
        <w:t>T</w:t>
      </w:r>
      <w:r w:rsidR="00DB0DC0" w:rsidRPr="00D25BE7">
        <w:rPr>
          <w:rFonts w:asciiTheme="minorHAnsi" w:hAnsiTheme="minorHAnsi"/>
          <w:lang w:val="en-GB"/>
        </w:rPr>
        <w:t>he overall performance of the Government</w:t>
      </w:r>
      <w:r w:rsidR="00A24257">
        <w:rPr>
          <w:rFonts w:asciiTheme="minorHAnsi" w:hAnsiTheme="minorHAnsi"/>
          <w:lang w:val="en-GB"/>
        </w:rPr>
        <w:t>’s</w:t>
      </w:r>
      <w:r w:rsidR="00DB0DC0" w:rsidRPr="00D25BE7">
        <w:rPr>
          <w:rFonts w:asciiTheme="minorHAnsi" w:hAnsiTheme="minorHAnsi"/>
          <w:lang w:val="en-GB"/>
        </w:rPr>
        <w:t xml:space="preserve"> investment in </w:t>
      </w:r>
      <w:r w:rsidR="00DB0DC0" w:rsidRPr="00D25BE7">
        <w:rPr>
          <w:rFonts w:asciiTheme="minorHAnsi" w:hAnsiTheme="minorHAnsi"/>
          <w:color w:val="000000" w:themeColor="text1"/>
          <w:lang w:val="en-GB"/>
        </w:rPr>
        <w:t>SOEs</w:t>
      </w:r>
      <w:r w:rsidRPr="00D25BE7">
        <w:rPr>
          <w:rFonts w:asciiTheme="minorHAnsi" w:hAnsiTheme="minorHAnsi"/>
          <w:color w:val="000000" w:themeColor="text1"/>
          <w:lang w:val="en-GB"/>
        </w:rPr>
        <w:t xml:space="preserve"> and other enterprises </w:t>
      </w:r>
      <w:r w:rsidR="009D169B" w:rsidRPr="00D25BE7">
        <w:rPr>
          <w:rFonts w:asciiTheme="minorHAnsi" w:hAnsiTheme="minorHAnsi"/>
          <w:color w:val="000000" w:themeColor="text1"/>
          <w:lang w:val="en-GB"/>
        </w:rPr>
        <w:t>can be monitored by review of trends in revenues, profits and returns</w:t>
      </w:r>
      <w:r w:rsidRPr="00D25BE7">
        <w:rPr>
          <w:rFonts w:asciiTheme="minorHAnsi" w:hAnsiTheme="minorHAnsi"/>
          <w:color w:val="000000" w:themeColor="text1"/>
          <w:lang w:val="en-GB"/>
        </w:rPr>
        <w:t xml:space="preserve">. In later sections this is </w:t>
      </w:r>
      <w:r w:rsidR="00DC2F90" w:rsidRPr="00D25BE7">
        <w:rPr>
          <w:rFonts w:asciiTheme="minorHAnsi" w:hAnsiTheme="minorHAnsi"/>
          <w:color w:val="000000" w:themeColor="text1"/>
          <w:lang w:val="en-GB"/>
        </w:rPr>
        <w:t>analysed within</w:t>
      </w:r>
      <w:r w:rsidR="00D9270B" w:rsidRPr="00D25BE7">
        <w:rPr>
          <w:rFonts w:asciiTheme="minorHAnsi" w:hAnsiTheme="minorHAnsi"/>
          <w:color w:val="000000" w:themeColor="text1"/>
          <w:lang w:val="en-GB"/>
        </w:rPr>
        <w:t xml:space="preserve"> the </w:t>
      </w:r>
      <w:r w:rsidR="000B10FD" w:rsidRPr="00D25BE7">
        <w:rPr>
          <w:rFonts w:asciiTheme="minorHAnsi" w:hAnsiTheme="minorHAnsi"/>
          <w:color w:val="000000" w:themeColor="text1"/>
          <w:lang w:val="en-GB"/>
        </w:rPr>
        <w:t>three</w:t>
      </w:r>
      <w:r w:rsidR="00D9270B" w:rsidRPr="00D25BE7">
        <w:rPr>
          <w:rFonts w:asciiTheme="minorHAnsi" w:hAnsiTheme="minorHAnsi"/>
          <w:color w:val="000000" w:themeColor="text1"/>
          <w:lang w:val="en-GB"/>
        </w:rPr>
        <w:t xml:space="preserve"> groups</w:t>
      </w:r>
      <w:r w:rsidR="00DC2F90" w:rsidRPr="00D25BE7">
        <w:rPr>
          <w:rFonts w:asciiTheme="minorHAnsi" w:hAnsiTheme="minorHAnsi"/>
          <w:color w:val="000000" w:themeColor="text1"/>
          <w:lang w:val="en-GB"/>
        </w:rPr>
        <w:t xml:space="preserve"> (100% SOE, those under State con</w:t>
      </w:r>
      <w:r w:rsidR="000206F4" w:rsidRPr="00D25BE7">
        <w:rPr>
          <w:rFonts w:asciiTheme="minorHAnsi" w:hAnsiTheme="minorHAnsi"/>
          <w:color w:val="000000" w:themeColor="text1"/>
          <w:lang w:val="en-GB"/>
        </w:rPr>
        <w:t>trol and the minority holdings).</w:t>
      </w:r>
    </w:p>
    <w:p w14:paraId="102D7DB5" w14:textId="12BC1FE4" w:rsidR="001D203E" w:rsidRPr="00D25BE7" w:rsidRDefault="000206F4" w:rsidP="000206F4">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lastRenderedPageBreak/>
        <w:t xml:space="preserve">SOEs and GoL invested companies are significant players in Lesotho’s economy. In the </w:t>
      </w:r>
      <w:r w:rsidR="00170AB4" w:rsidRPr="00D25BE7">
        <w:rPr>
          <w:rFonts w:asciiTheme="minorHAnsi" w:hAnsiTheme="minorHAnsi"/>
          <w:color w:val="000000" w:themeColor="text1"/>
          <w:lang w:val="en-GB"/>
        </w:rPr>
        <w:t>years from 20</w:t>
      </w:r>
      <w:r w:rsidR="00E30565" w:rsidRPr="00D25BE7">
        <w:rPr>
          <w:rFonts w:asciiTheme="minorHAnsi" w:hAnsiTheme="minorHAnsi"/>
          <w:color w:val="000000" w:themeColor="text1"/>
          <w:lang w:val="en-GB"/>
        </w:rPr>
        <w:t xml:space="preserve">09 </w:t>
      </w:r>
      <w:r w:rsidR="00170AB4" w:rsidRPr="00D25BE7">
        <w:rPr>
          <w:rFonts w:asciiTheme="minorHAnsi" w:hAnsiTheme="minorHAnsi"/>
          <w:color w:val="000000" w:themeColor="text1"/>
          <w:lang w:val="en-GB"/>
        </w:rPr>
        <w:t xml:space="preserve">to financial year ending March 2018, the </w:t>
      </w:r>
      <w:r w:rsidR="00E30565" w:rsidRPr="00D25BE7">
        <w:rPr>
          <w:rFonts w:asciiTheme="minorHAnsi" w:hAnsiTheme="minorHAnsi"/>
          <w:color w:val="000000" w:themeColor="text1"/>
          <w:lang w:val="en-GB"/>
        </w:rPr>
        <w:t xml:space="preserve">total </w:t>
      </w:r>
      <w:r w:rsidR="00E45525" w:rsidRPr="00D25BE7">
        <w:rPr>
          <w:rFonts w:asciiTheme="minorHAnsi" w:hAnsiTheme="minorHAnsi"/>
          <w:color w:val="000000" w:themeColor="text1"/>
          <w:lang w:val="en-GB"/>
        </w:rPr>
        <w:t xml:space="preserve">annual </w:t>
      </w:r>
      <w:r w:rsidR="00E30565" w:rsidRPr="00D25BE7">
        <w:rPr>
          <w:rFonts w:asciiTheme="minorHAnsi" w:hAnsiTheme="minorHAnsi"/>
          <w:color w:val="000000" w:themeColor="text1"/>
          <w:lang w:val="en-GB"/>
        </w:rPr>
        <w:t xml:space="preserve">revenue of all SOEs and GoL invested companies </w:t>
      </w:r>
      <w:r w:rsidR="00E45525" w:rsidRPr="00D25BE7">
        <w:rPr>
          <w:rFonts w:asciiTheme="minorHAnsi" w:hAnsiTheme="minorHAnsi"/>
          <w:color w:val="000000" w:themeColor="text1"/>
          <w:lang w:val="en-GB"/>
        </w:rPr>
        <w:t>has been the equivalent of between 24% and 44% of GDP.</w:t>
      </w:r>
    </w:p>
    <w:p w14:paraId="711E2FBA" w14:textId="148C3343" w:rsidR="001D203E" w:rsidRPr="00A11CEC" w:rsidRDefault="00A707DE" w:rsidP="000206F4">
      <w:pPr>
        <w:pStyle w:val="ListParagraph"/>
        <w:ind w:left="426" w:hanging="426"/>
        <w:rPr>
          <w:rFonts w:asciiTheme="minorHAnsi" w:hAnsiTheme="minorHAnsi"/>
          <w:b/>
          <w:color w:val="000000" w:themeColor="text1"/>
          <w:sz w:val="20"/>
          <w:lang w:val="en-GB"/>
        </w:rPr>
      </w:pPr>
      <w:r w:rsidRPr="00A11CEC">
        <w:rPr>
          <w:rFonts w:asciiTheme="minorHAnsi" w:hAnsiTheme="minorHAnsi"/>
          <w:b/>
          <w:color w:val="000000" w:themeColor="text1"/>
          <w:sz w:val="20"/>
          <w:lang w:val="en-GB"/>
        </w:rPr>
        <w:t>Figure</w:t>
      </w:r>
      <w:r w:rsidR="001D203E" w:rsidRPr="00A11CEC">
        <w:rPr>
          <w:rFonts w:asciiTheme="minorHAnsi" w:hAnsiTheme="minorHAnsi"/>
          <w:b/>
          <w:color w:val="000000" w:themeColor="text1"/>
          <w:sz w:val="20"/>
          <w:lang w:val="en-GB"/>
        </w:rPr>
        <w:t xml:space="preserve"> 1: SOE and Minority Invested </w:t>
      </w:r>
      <w:r w:rsidR="00B02628" w:rsidRPr="00A11CEC">
        <w:rPr>
          <w:rFonts w:asciiTheme="minorHAnsi" w:hAnsiTheme="minorHAnsi"/>
          <w:b/>
          <w:color w:val="000000" w:themeColor="text1"/>
          <w:sz w:val="20"/>
          <w:lang w:val="en-GB"/>
        </w:rPr>
        <w:t xml:space="preserve">Company </w:t>
      </w:r>
      <w:r w:rsidR="00B74151" w:rsidRPr="00A11CEC">
        <w:rPr>
          <w:rFonts w:asciiTheme="minorHAnsi" w:hAnsiTheme="minorHAnsi"/>
          <w:b/>
          <w:color w:val="000000" w:themeColor="text1"/>
          <w:sz w:val="20"/>
          <w:lang w:val="en-GB"/>
        </w:rPr>
        <w:t>Revenue as percentage of GDP</w:t>
      </w:r>
    </w:p>
    <w:p w14:paraId="6438268E" w14:textId="677E6890" w:rsidR="001D203E" w:rsidRPr="00D25BE7" w:rsidRDefault="00E2075C" w:rsidP="00D25BE7">
      <w:pPr>
        <w:rPr>
          <w:rFonts w:asciiTheme="minorHAnsi" w:hAnsiTheme="minorHAnsi"/>
          <w:color w:val="000000" w:themeColor="text1"/>
          <w:lang w:val="en-GB"/>
        </w:rPr>
      </w:pPr>
      <w:r>
        <w:rPr>
          <w:noProof/>
        </w:rPr>
        <w:drawing>
          <wp:inline distT="0" distB="0" distL="0" distR="0" wp14:anchorId="2182CA46" wp14:editId="6580BEE4">
            <wp:extent cx="4911725" cy="2499360"/>
            <wp:effectExtent l="25400" t="25400" r="92075" b="9144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BD5EB3" w14:textId="77777777" w:rsidR="00473985" w:rsidRPr="007A0F4A" w:rsidRDefault="00473985" w:rsidP="00473985">
      <w:pPr>
        <w:pStyle w:val="regtext"/>
        <w:spacing w:after="60"/>
        <w:rPr>
          <w:i/>
          <w:sz w:val="18"/>
          <w:szCs w:val="18"/>
        </w:rPr>
      </w:pPr>
      <w:r w:rsidRPr="007A0F4A">
        <w:rPr>
          <w:i/>
          <w:sz w:val="18"/>
          <w:szCs w:val="18"/>
        </w:rPr>
        <w:t>Source: GDP – World Bank; Revenues - AFS Various Years</w:t>
      </w:r>
    </w:p>
    <w:p w14:paraId="118FC69A" w14:textId="60A8A78F" w:rsidR="00E348CA" w:rsidRPr="00D25BE7" w:rsidRDefault="00E348CA" w:rsidP="00D25BE7">
      <w:pPr>
        <w:rPr>
          <w:rFonts w:asciiTheme="minorHAnsi" w:hAnsiTheme="minorHAnsi"/>
          <w:color w:val="000000" w:themeColor="text1"/>
          <w:lang w:val="en-GB"/>
        </w:rPr>
      </w:pPr>
    </w:p>
    <w:p w14:paraId="4320A5E4" w14:textId="0B79E420" w:rsidR="001D203E" w:rsidRPr="0035165C" w:rsidRDefault="00247722" w:rsidP="004E7664">
      <w:pPr>
        <w:pStyle w:val="ListParagraph"/>
        <w:ind w:left="426" w:hanging="426"/>
        <w:rPr>
          <w:rFonts w:asciiTheme="minorHAnsi" w:hAnsiTheme="minorHAnsi"/>
          <w:color w:val="000000" w:themeColor="text1"/>
          <w:lang w:val="en-GB"/>
        </w:rPr>
      </w:pPr>
      <w:r w:rsidRPr="0035165C">
        <w:rPr>
          <w:rFonts w:asciiTheme="minorHAnsi" w:hAnsiTheme="minorHAnsi"/>
          <w:color w:val="000000" w:themeColor="text1"/>
          <w:lang w:val="en-GB"/>
        </w:rPr>
        <w:t>In Figure</w:t>
      </w:r>
      <w:r w:rsidR="00B74151" w:rsidRPr="0035165C">
        <w:rPr>
          <w:rFonts w:asciiTheme="minorHAnsi" w:hAnsiTheme="minorHAnsi"/>
          <w:color w:val="000000" w:themeColor="text1"/>
          <w:lang w:val="en-GB"/>
        </w:rPr>
        <w:t xml:space="preserve"> 1, </w:t>
      </w:r>
      <w:r w:rsidR="00C27C1A" w:rsidRPr="0035165C">
        <w:rPr>
          <w:rFonts w:asciiTheme="minorHAnsi" w:hAnsiTheme="minorHAnsi"/>
          <w:color w:val="000000" w:themeColor="text1"/>
          <w:lang w:val="en-GB"/>
        </w:rPr>
        <w:t xml:space="preserve">GDP is shown in Billions of US dollars on the left hand side and the right hand side shows the </w:t>
      </w:r>
      <w:r w:rsidR="00170AB4" w:rsidRPr="0035165C">
        <w:rPr>
          <w:rFonts w:asciiTheme="minorHAnsi" w:hAnsiTheme="minorHAnsi"/>
          <w:color w:val="000000" w:themeColor="text1"/>
          <w:lang w:val="en-GB"/>
        </w:rPr>
        <w:t xml:space="preserve">total revenues of the 2 SOE categories </w:t>
      </w:r>
      <w:r w:rsidRPr="0035165C">
        <w:rPr>
          <w:rFonts w:asciiTheme="minorHAnsi" w:hAnsiTheme="minorHAnsi"/>
          <w:color w:val="000000" w:themeColor="text1"/>
          <w:lang w:val="en-GB"/>
        </w:rPr>
        <w:t>combined</w:t>
      </w:r>
      <w:r w:rsidR="0051142E" w:rsidRPr="0035165C">
        <w:rPr>
          <w:rFonts w:asciiTheme="minorHAnsi" w:hAnsiTheme="minorHAnsi"/>
          <w:color w:val="000000" w:themeColor="text1"/>
          <w:lang w:val="en-GB"/>
        </w:rPr>
        <w:t>,</w:t>
      </w:r>
      <w:r w:rsidRPr="0035165C">
        <w:rPr>
          <w:rFonts w:asciiTheme="minorHAnsi" w:hAnsiTheme="minorHAnsi"/>
          <w:color w:val="000000" w:themeColor="text1"/>
          <w:lang w:val="en-GB"/>
        </w:rPr>
        <w:t xml:space="preserve"> </w:t>
      </w:r>
      <w:r w:rsidR="00B02628" w:rsidRPr="0035165C">
        <w:rPr>
          <w:rFonts w:asciiTheme="minorHAnsi" w:hAnsiTheme="minorHAnsi"/>
          <w:color w:val="000000" w:themeColor="text1"/>
          <w:lang w:val="en-GB"/>
        </w:rPr>
        <w:t>as well as</w:t>
      </w:r>
      <w:r w:rsidR="00170AB4" w:rsidRPr="0035165C">
        <w:rPr>
          <w:rFonts w:asciiTheme="minorHAnsi" w:hAnsiTheme="minorHAnsi"/>
          <w:color w:val="000000" w:themeColor="text1"/>
          <w:lang w:val="en-GB"/>
        </w:rPr>
        <w:t xml:space="preserve"> GoL minority interests</w:t>
      </w:r>
      <w:r w:rsidR="0051142E" w:rsidRPr="0035165C">
        <w:rPr>
          <w:rFonts w:asciiTheme="minorHAnsi" w:hAnsiTheme="minorHAnsi"/>
          <w:color w:val="000000" w:themeColor="text1"/>
          <w:lang w:val="en-GB"/>
        </w:rPr>
        <w:t>,</w:t>
      </w:r>
      <w:r w:rsidR="00170AB4" w:rsidRPr="0035165C">
        <w:rPr>
          <w:rFonts w:asciiTheme="minorHAnsi" w:hAnsiTheme="minorHAnsi"/>
          <w:color w:val="000000" w:themeColor="text1"/>
          <w:lang w:val="en-GB"/>
        </w:rPr>
        <w:t xml:space="preserve"> as a </w:t>
      </w:r>
      <w:r w:rsidR="003B651B" w:rsidRPr="0035165C">
        <w:rPr>
          <w:rFonts w:asciiTheme="minorHAnsi" w:hAnsiTheme="minorHAnsi"/>
          <w:color w:val="000000" w:themeColor="text1"/>
          <w:lang w:val="en-GB"/>
        </w:rPr>
        <w:t>percentage</w:t>
      </w:r>
      <w:r w:rsidR="00C27C1A" w:rsidRPr="0035165C">
        <w:rPr>
          <w:rFonts w:asciiTheme="minorHAnsi" w:hAnsiTheme="minorHAnsi"/>
          <w:color w:val="000000" w:themeColor="text1"/>
          <w:lang w:val="en-GB"/>
        </w:rPr>
        <w:t xml:space="preserve"> of GDP</w:t>
      </w:r>
      <w:r w:rsidR="00170AB4" w:rsidRPr="0035165C">
        <w:rPr>
          <w:rFonts w:asciiTheme="minorHAnsi" w:hAnsiTheme="minorHAnsi"/>
          <w:color w:val="000000" w:themeColor="text1"/>
          <w:lang w:val="en-GB"/>
        </w:rPr>
        <w:t>.</w:t>
      </w:r>
      <w:r w:rsidR="00C27C1A" w:rsidRPr="0035165C">
        <w:rPr>
          <w:rFonts w:asciiTheme="minorHAnsi" w:hAnsiTheme="minorHAnsi"/>
          <w:color w:val="000000" w:themeColor="text1"/>
          <w:lang w:val="en-GB"/>
        </w:rPr>
        <w:t xml:space="preserve"> </w:t>
      </w:r>
      <w:r w:rsidR="00170AB4" w:rsidRPr="0035165C">
        <w:rPr>
          <w:rFonts w:asciiTheme="minorHAnsi" w:hAnsiTheme="minorHAnsi"/>
          <w:color w:val="000000" w:themeColor="text1"/>
          <w:lang w:val="en-GB"/>
        </w:rPr>
        <w:t>T</w:t>
      </w:r>
      <w:r w:rsidR="00B74151" w:rsidRPr="0035165C">
        <w:rPr>
          <w:rFonts w:asciiTheme="minorHAnsi" w:hAnsiTheme="minorHAnsi"/>
          <w:color w:val="000000" w:themeColor="text1"/>
          <w:lang w:val="en-GB"/>
        </w:rPr>
        <w:t xml:space="preserve">he companies that have already been privatised and in which the GoL maintains a minority interest </w:t>
      </w:r>
      <w:r w:rsidR="00C27C1A" w:rsidRPr="0035165C">
        <w:rPr>
          <w:rFonts w:asciiTheme="minorHAnsi" w:hAnsiTheme="minorHAnsi"/>
          <w:color w:val="000000" w:themeColor="text1"/>
          <w:lang w:val="en-GB"/>
        </w:rPr>
        <w:t xml:space="preserve">are (as a group) significantly larger than </w:t>
      </w:r>
      <w:r w:rsidR="003B651B" w:rsidRPr="0035165C">
        <w:rPr>
          <w:rFonts w:asciiTheme="minorHAnsi" w:hAnsiTheme="minorHAnsi"/>
          <w:color w:val="000000" w:themeColor="text1"/>
          <w:lang w:val="en-GB"/>
        </w:rPr>
        <w:t xml:space="preserve">the </w:t>
      </w:r>
      <w:r w:rsidR="00C27C1A" w:rsidRPr="0035165C">
        <w:rPr>
          <w:rFonts w:asciiTheme="minorHAnsi" w:hAnsiTheme="minorHAnsi"/>
          <w:color w:val="000000" w:themeColor="text1"/>
          <w:lang w:val="en-GB"/>
        </w:rPr>
        <w:t>SOEs.</w:t>
      </w:r>
    </w:p>
    <w:p w14:paraId="23E83419" w14:textId="2EFCCE2B" w:rsidR="001F2D0E" w:rsidRPr="0084140E" w:rsidRDefault="001F2D0E" w:rsidP="0084140E">
      <w:pPr>
        <w:pStyle w:val="ListParagraph"/>
        <w:ind w:left="426" w:hanging="426"/>
        <w:rPr>
          <w:rFonts w:asciiTheme="minorHAnsi" w:hAnsiTheme="minorHAnsi"/>
          <w:color w:val="000000" w:themeColor="text1"/>
          <w:lang w:val="en-GB"/>
        </w:rPr>
      </w:pPr>
      <w:r w:rsidRPr="0035165C">
        <w:rPr>
          <w:rFonts w:asciiTheme="minorHAnsi" w:hAnsiTheme="minorHAnsi"/>
          <w:color w:val="000000" w:themeColor="text1"/>
          <w:lang w:val="en-GB"/>
        </w:rPr>
        <w:t xml:space="preserve">The peak year of 2015 </w:t>
      </w:r>
      <w:r w:rsidR="00730B36" w:rsidRPr="0035165C">
        <w:rPr>
          <w:rFonts w:asciiTheme="minorHAnsi" w:hAnsiTheme="minorHAnsi"/>
          <w:color w:val="000000" w:themeColor="text1"/>
          <w:lang w:val="en-GB"/>
        </w:rPr>
        <w:t xml:space="preserve">at 44% </w:t>
      </w:r>
      <w:r w:rsidR="00BA0334" w:rsidRPr="0035165C">
        <w:rPr>
          <w:rFonts w:asciiTheme="minorHAnsi" w:hAnsiTheme="minorHAnsi"/>
          <w:color w:val="000000" w:themeColor="text1"/>
          <w:lang w:val="en-GB"/>
        </w:rPr>
        <w:t xml:space="preserve">(minorities </w:t>
      </w:r>
      <w:r w:rsidR="00574ECD" w:rsidRPr="0035165C">
        <w:rPr>
          <w:rFonts w:asciiTheme="minorHAnsi" w:hAnsiTheme="minorHAnsi"/>
          <w:color w:val="000000" w:themeColor="text1"/>
          <w:lang w:val="en-GB"/>
        </w:rPr>
        <w:t xml:space="preserve">32.10% and SOEs 12.05%) </w:t>
      </w:r>
      <w:r w:rsidR="00730B36" w:rsidRPr="0035165C">
        <w:rPr>
          <w:rFonts w:asciiTheme="minorHAnsi" w:hAnsiTheme="minorHAnsi"/>
          <w:color w:val="000000" w:themeColor="text1"/>
          <w:lang w:val="en-GB"/>
        </w:rPr>
        <w:t xml:space="preserve">is more a </w:t>
      </w:r>
      <w:r w:rsidR="00574ECD" w:rsidRPr="0035165C">
        <w:rPr>
          <w:rFonts w:asciiTheme="minorHAnsi" w:hAnsiTheme="minorHAnsi"/>
          <w:color w:val="000000" w:themeColor="text1"/>
          <w:lang w:val="en-GB"/>
        </w:rPr>
        <w:t xml:space="preserve">function </w:t>
      </w:r>
      <w:r w:rsidR="00730B36" w:rsidRPr="0035165C">
        <w:rPr>
          <w:rFonts w:asciiTheme="minorHAnsi" w:hAnsiTheme="minorHAnsi"/>
          <w:color w:val="000000" w:themeColor="text1"/>
          <w:lang w:val="en-GB"/>
        </w:rPr>
        <w:t xml:space="preserve">of GDP decline rather than significant increases in company revenues. </w:t>
      </w:r>
    </w:p>
    <w:p w14:paraId="33857962" w14:textId="6B97A222" w:rsidR="00293BC9" w:rsidRPr="0084140E" w:rsidRDefault="00BA5047">
      <w:pPr>
        <w:pStyle w:val="ListParagraph"/>
        <w:ind w:left="426" w:hanging="426"/>
        <w:rPr>
          <w:rFonts w:asciiTheme="minorHAnsi" w:hAnsiTheme="minorHAnsi"/>
          <w:color w:val="FF0000"/>
          <w:lang w:val="en-GB"/>
        </w:rPr>
      </w:pPr>
      <w:r w:rsidRPr="00A11CEC">
        <w:rPr>
          <w:rFonts w:asciiTheme="minorHAnsi" w:hAnsiTheme="minorHAnsi"/>
          <w:b/>
          <w:color w:val="000000" w:themeColor="text1"/>
          <w:sz w:val="20"/>
          <w:lang w:val="en-GB"/>
        </w:rPr>
        <w:t>Figure 2</w:t>
      </w:r>
      <w:r w:rsidR="00C0234D" w:rsidRPr="00A11CEC">
        <w:rPr>
          <w:rFonts w:asciiTheme="minorHAnsi" w:hAnsiTheme="minorHAnsi"/>
          <w:b/>
          <w:color w:val="000000" w:themeColor="text1"/>
          <w:sz w:val="20"/>
          <w:lang w:val="en-GB"/>
        </w:rPr>
        <w:t xml:space="preserve">: Revenue of </w:t>
      </w:r>
      <w:r w:rsidR="003023C0">
        <w:rPr>
          <w:rFonts w:asciiTheme="minorHAnsi" w:hAnsiTheme="minorHAnsi"/>
          <w:b/>
          <w:color w:val="000000" w:themeColor="text1"/>
          <w:sz w:val="20"/>
          <w:lang w:val="en-GB"/>
        </w:rPr>
        <w:t>5</w:t>
      </w:r>
      <w:r w:rsidR="00C0234D" w:rsidRPr="00A11CEC">
        <w:rPr>
          <w:rFonts w:asciiTheme="minorHAnsi" w:hAnsiTheme="minorHAnsi"/>
          <w:b/>
          <w:color w:val="000000" w:themeColor="text1"/>
          <w:sz w:val="20"/>
          <w:lang w:val="en-GB"/>
        </w:rPr>
        <w:t xml:space="preserve"> largest companies in the portfolio </w:t>
      </w:r>
      <w:r w:rsidR="003B651B" w:rsidRPr="00A11CEC">
        <w:rPr>
          <w:rFonts w:asciiTheme="minorHAnsi" w:hAnsiTheme="minorHAnsi"/>
          <w:b/>
          <w:color w:val="000000" w:themeColor="text1"/>
          <w:sz w:val="20"/>
          <w:lang w:val="en-GB"/>
        </w:rPr>
        <w:t xml:space="preserve">that </w:t>
      </w:r>
      <w:r w:rsidR="00C0234D" w:rsidRPr="00A11CEC">
        <w:rPr>
          <w:rFonts w:asciiTheme="minorHAnsi" w:hAnsiTheme="minorHAnsi"/>
          <w:b/>
          <w:color w:val="000000" w:themeColor="text1"/>
          <w:sz w:val="20"/>
          <w:lang w:val="en-GB"/>
        </w:rPr>
        <w:t>each exceeds 2% of GDP</w:t>
      </w:r>
    </w:p>
    <w:p w14:paraId="2F556EE9" w14:textId="0A4ADA2C" w:rsidR="00C0234D" w:rsidRPr="00293BC9" w:rsidRDefault="00D64096" w:rsidP="0084140E">
      <w:pPr>
        <w:rPr>
          <w:rFonts w:asciiTheme="minorHAnsi" w:hAnsiTheme="minorHAnsi"/>
          <w:color w:val="FF0000"/>
          <w:lang w:val="en-GB"/>
        </w:rPr>
      </w:pPr>
      <w:r>
        <w:rPr>
          <w:noProof/>
        </w:rPr>
        <w:drawing>
          <wp:inline distT="0" distB="0" distL="0" distR="0" wp14:anchorId="70EFFC1E" wp14:editId="74A09236">
            <wp:extent cx="4533265" cy="2255520"/>
            <wp:effectExtent l="25400" t="25400" r="89535" b="1066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73087FF" w14:textId="70F243A7" w:rsidR="00E646B9" w:rsidRPr="0084140E" w:rsidRDefault="00E646B9" w:rsidP="0084140E">
      <w:pPr>
        <w:pStyle w:val="regtext"/>
        <w:spacing w:after="60"/>
        <w:ind w:firstLine="426"/>
        <w:rPr>
          <w:i/>
          <w:sz w:val="18"/>
          <w:szCs w:val="18"/>
        </w:rPr>
      </w:pPr>
      <w:r w:rsidRPr="0084140E">
        <w:rPr>
          <w:i/>
          <w:sz w:val="18"/>
          <w:szCs w:val="18"/>
        </w:rPr>
        <w:t>Source: GDP – World Bank; Revenues - AFS Various Years</w:t>
      </w:r>
    </w:p>
    <w:p w14:paraId="61094B7F" w14:textId="30161BEF" w:rsidR="00E947B6" w:rsidRPr="00B71720" w:rsidRDefault="00904E30" w:rsidP="00B71720">
      <w:pPr>
        <w:pStyle w:val="ListParagraph"/>
        <w:spacing w:after="120"/>
        <w:ind w:left="426" w:hanging="426"/>
        <w:rPr>
          <w:rFonts w:asciiTheme="minorHAnsi" w:hAnsiTheme="minorHAnsi"/>
          <w:color w:val="000000" w:themeColor="text1"/>
          <w:lang w:val="en-GB"/>
        </w:rPr>
      </w:pPr>
      <w:r w:rsidRPr="00B71720">
        <w:rPr>
          <w:rFonts w:asciiTheme="minorHAnsi" w:hAnsiTheme="minorHAnsi"/>
          <w:color w:val="000000" w:themeColor="text1"/>
          <w:lang w:val="en-GB"/>
        </w:rPr>
        <w:t>The companies</w:t>
      </w:r>
      <w:r w:rsidR="00E947B6" w:rsidRPr="00B71720">
        <w:rPr>
          <w:rFonts w:asciiTheme="minorHAnsi" w:hAnsiTheme="minorHAnsi"/>
          <w:color w:val="000000" w:themeColor="text1"/>
          <w:lang w:val="en-GB"/>
        </w:rPr>
        <w:t xml:space="preserve"> are </w:t>
      </w:r>
      <w:r w:rsidR="00B71720" w:rsidRPr="00B71720">
        <w:rPr>
          <w:rFonts w:asciiTheme="minorHAnsi" w:hAnsiTheme="minorHAnsi"/>
          <w:color w:val="000000" w:themeColor="text1"/>
          <w:lang w:val="en-GB"/>
        </w:rPr>
        <w:t xml:space="preserve">Lesotho Flour Mills (LFM), </w:t>
      </w:r>
      <w:r w:rsidR="00E947B6" w:rsidRPr="00B71720">
        <w:rPr>
          <w:rFonts w:asciiTheme="minorHAnsi" w:hAnsiTheme="minorHAnsi"/>
          <w:color w:val="000000" w:themeColor="text1"/>
          <w:lang w:val="en-GB"/>
        </w:rPr>
        <w:t>Lesotho Electricity Company</w:t>
      </w:r>
      <w:r w:rsidR="00C256AA" w:rsidRPr="00A4708E">
        <w:rPr>
          <w:rFonts w:asciiTheme="minorHAnsi" w:hAnsiTheme="minorHAnsi"/>
          <w:color w:val="000000" w:themeColor="text1"/>
          <w:lang w:val="en-GB"/>
        </w:rPr>
        <w:t xml:space="preserve"> (LEC)</w:t>
      </w:r>
      <w:r w:rsidR="00E947B6" w:rsidRPr="00B71720">
        <w:rPr>
          <w:rFonts w:asciiTheme="minorHAnsi" w:hAnsiTheme="minorHAnsi"/>
          <w:color w:val="000000" w:themeColor="text1"/>
          <w:lang w:val="en-GB"/>
        </w:rPr>
        <w:t xml:space="preserve">, </w:t>
      </w:r>
      <w:proofErr w:type="spellStart"/>
      <w:r w:rsidR="00E947B6" w:rsidRPr="00B71720">
        <w:rPr>
          <w:rFonts w:asciiTheme="minorHAnsi" w:hAnsiTheme="minorHAnsi"/>
          <w:color w:val="000000" w:themeColor="text1"/>
          <w:lang w:val="en-GB"/>
        </w:rPr>
        <w:t>Maluti</w:t>
      </w:r>
      <w:proofErr w:type="spellEnd"/>
      <w:r w:rsidR="00E947B6" w:rsidRPr="00B71720">
        <w:rPr>
          <w:rFonts w:asciiTheme="minorHAnsi" w:hAnsiTheme="minorHAnsi"/>
          <w:color w:val="000000" w:themeColor="text1"/>
          <w:lang w:val="en-GB"/>
        </w:rPr>
        <w:t xml:space="preserve"> Mountain Brewery</w:t>
      </w:r>
      <w:r w:rsidR="00C256AA" w:rsidRPr="00B71720">
        <w:rPr>
          <w:rFonts w:asciiTheme="minorHAnsi" w:hAnsiTheme="minorHAnsi"/>
          <w:color w:val="000000" w:themeColor="text1"/>
          <w:lang w:val="en-GB"/>
        </w:rPr>
        <w:t xml:space="preserve"> (MMB)</w:t>
      </w:r>
      <w:r w:rsidR="00E947B6" w:rsidRPr="00B71720">
        <w:rPr>
          <w:rFonts w:asciiTheme="minorHAnsi" w:hAnsiTheme="minorHAnsi"/>
          <w:color w:val="000000" w:themeColor="text1"/>
          <w:lang w:val="en-GB"/>
        </w:rPr>
        <w:t xml:space="preserve">, </w:t>
      </w:r>
      <w:r w:rsidR="00B71720" w:rsidRPr="00B71720">
        <w:rPr>
          <w:rFonts w:asciiTheme="minorHAnsi" w:hAnsiTheme="minorHAnsi"/>
          <w:color w:val="000000" w:themeColor="text1"/>
          <w:lang w:val="en-GB"/>
        </w:rPr>
        <w:t xml:space="preserve">Standard Lesotho Bank (SLB) and </w:t>
      </w:r>
      <w:proofErr w:type="spellStart"/>
      <w:r w:rsidR="00E947B6" w:rsidRPr="00B71720">
        <w:rPr>
          <w:rFonts w:asciiTheme="minorHAnsi" w:hAnsiTheme="minorHAnsi"/>
          <w:color w:val="000000" w:themeColor="text1"/>
          <w:lang w:val="en-GB"/>
        </w:rPr>
        <w:t>Letseng</w:t>
      </w:r>
      <w:proofErr w:type="spellEnd"/>
      <w:r w:rsidR="00E947B6" w:rsidRPr="00B71720">
        <w:rPr>
          <w:rFonts w:asciiTheme="minorHAnsi" w:hAnsiTheme="minorHAnsi"/>
          <w:color w:val="000000" w:themeColor="text1"/>
          <w:lang w:val="en-GB"/>
        </w:rPr>
        <w:t xml:space="preserve"> Diamonds</w:t>
      </w:r>
      <w:r w:rsidR="00C256AA" w:rsidRPr="00B71720">
        <w:rPr>
          <w:rFonts w:asciiTheme="minorHAnsi" w:hAnsiTheme="minorHAnsi"/>
          <w:color w:val="000000" w:themeColor="text1"/>
          <w:lang w:val="en-GB"/>
        </w:rPr>
        <w:t xml:space="preserve"> (</w:t>
      </w:r>
      <w:proofErr w:type="spellStart"/>
      <w:r w:rsidR="00C256AA" w:rsidRPr="00B71720">
        <w:rPr>
          <w:rFonts w:asciiTheme="minorHAnsi" w:hAnsiTheme="minorHAnsi"/>
          <w:color w:val="000000" w:themeColor="text1"/>
          <w:lang w:val="en-GB"/>
        </w:rPr>
        <w:t>Letseng</w:t>
      </w:r>
      <w:proofErr w:type="spellEnd"/>
      <w:r w:rsidR="00C256AA" w:rsidRPr="00B71720">
        <w:rPr>
          <w:rFonts w:asciiTheme="minorHAnsi" w:hAnsiTheme="minorHAnsi"/>
          <w:color w:val="000000" w:themeColor="text1"/>
          <w:lang w:val="en-GB"/>
        </w:rPr>
        <w:t>)</w:t>
      </w:r>
      <w:r w:rsidR="00B71720">
        <w:rPr>
          <w:rFonts w:asciiTheme="minorHAnsi" w:hAnsiTheme="minorHAnsi"/>
          <w:color w:val="000000" w:themeColor="text1"/>
          <w:lang w:val="en-GB"/>
        </w:rPr>
        <w:t>.</w:t>
      </w:r>
    </w:p>
    <w:p w14:paraId="7AE5F975" w14:textId="3D6784E7" w:rsidR="002E2B6C" w:rsidRPr="00D25BE7" w:rsidRDefault="00904E30" w:rsidP="004E7664">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lastRenderedPageBreak/>
        <w:t xml:space="preserve">Figure 2 highlights the significance of these </w:t>
      </w:r>
      <w:r w:rsidR="007C5BDC" w:rsidRPr="00D25BE7">
        <w:rPr>
          <w:rFonts w:asciiTheme="minorHAnsi" w:hAnsiTheme="minorHAnsi"/>
          <w:color w:val="000000" w:themeColor="text1"/>
          <w:lang w:val="en-GB"/>
        </w:rPr>
        <w:t xml:space="preserve">companies to the country’s economy, yet </w:t>
      </w:r>
      <w:r w:rsidR="002E2B6C" w:rsidRPr="00D25BE7">
        <w:rPr>
          <w:rFonts w:asciiTheme="minorHAnsi" w:hAnsiTheme="minorHAnsi"/>
          <w:color w:val="000000" w:themeColor="text1"/>
          <w:lang w:val="en-GB"/>
        </w:rPr>
        <w:t>we can see that only 2 SOEs are included in the top 6 companies</w:t>
      </w:r>
      <w:r w:rsidR="00A7623D" w:rsidRPr="00D25BE7">
        <w:rPr>
          <w:rFonts w:asciiTheme="minorHAnsi" w:hAnsiTheme="minorHAnsi"/>
          <w:color w:val="000000" w:themeColor="text1"/>
          <w:lang w:val="en-GB"/>
        </w:rPr>
        <w:t xml:space="preserve"> by revenue</w:t>
      </w:r>
      <w:r w:rsidR="002E2B6C" w:rsidRPr="00D25BE7">
        <w:rPr>
          <w:rFonts w:asciiTheme="minorHAnsi" w:hAnsiTheme="minorHAnsi"/>
          <w:color w:val="000000" w:themeColor="text1"/>
          <w:lang w:val="en-GB"/>
        </w:rPr>
        <w:t>. The oth</w:t>
      </w:r>
      <w:r w:rsidR="00A945B6" w:rsidRPr="00D25BE7">
        <w:rPr>
          <w:rFonts w:asciiTheme="minorHAnsi" w:hAnsiTheme="minorHAnsi"/>
          <w:color w:val="000000" w:themeColor="text1"/>
          <w:lang w:val="en-GB"/>
        </w:rPr>
        <w:t xml:space="preserve">er 4 are companies in which the GoL has minority interests. Whilst </w:t>
      </w:r>
      <w:proofErr w:type="spellStart"/>
      <w:r w:rsidR="00A945B6" w:rsidRPr="00D25BE7">
        <w:rPr>
          <w:rFonts w:asciiTheme="minorHAnsi" w:hAnsiTheme="minorHAnsi"/>
          <w:color w:val="000000" w:themeColor="text1"/>
          <w:lang w:val="en-GB"/>
        </w:rPr>
        <w:t>Letseng</w:t>
      </w:r>
      <w:proofErr w:type="spellEnd"/>
      <w:r w:rsidR="00A945B6" w:rsidRPr="00D25BE7">
        <w:rPr>
          <w:rFonts w:asciiTheme="minorHAnsi" w:hAnsiTheme="minorHAnsi"/>
          <w:color w:val="000000" w:themeColor="text1"/>
          <w:lang w:val="en-GB"/>
        </w:rPr>
        <w:t xml:space="preserve"> dominates, it is important to note that </w:t>
      </w:r>
      <w:proofErr w:type="spellStart"/>
      <w:r w:rsidR="00524E7D" w:rsidRPr="00D25BE7">
        <w:rPr>
          <w:rFonts w:asciiTheme="minorHAnsi" w:hAnsiTheme="minorHAnsi"/>
          <w:color w:val="000000" w:themeColor="text1"/>
          <w:lang w:val="en-GB"/>
        </w:rPr>
        <w:t>Letseng’s</w:t>
      </w:r>
      <w:proofErr w:type="spellEnd"/>
      <w:r w:rsidR="00524E7D" w:rsidRPr="00D25BE7">
        <w:rPr>
          <w:rFonts w:asciiTheme="minorHAnsi" w:hAnsiTheme="minorHAnsi"/>
          <w:color w:val="000000" w:themeColor="text1"/>
          <w:lang w:val="en-GB"/>
        </w:rPr>
        <w:t xml:space="preserve"> </w:t>
      </w:r>
      <w:r w:rsidR="00A945B6" w:rsidRPr="00D25BE7">
        <w:rPr>
          <w:rFonts w:asciiTheme="minorHAnsi" w:hAnsiTheme="minorHAnsi"/>
          <w:color w:val="000000" w:themeColor="text1"/>
          <w:lang w:val="en-GB"/>
        </w:rPr>
        <w:t>2017/18 revenues have declined by 13.9% in the past two years</w:t>
      </w:r>
      <w:r w:rsidR="00524E7D" w:rsidRPr="00D25BE7">
        <w:rPr>
          <w:rFonts w:asciiTheme="minorHAnsi" w:hAnsiTheme="minorHAnsi"/>
          <w:color w:val="000000" w:themeColor="text1"/>
          <w:lang w:val="en-GB"/>
        </w:rPr>
        <w:t xml:space="preserve">. More significantly this translates into a 51.6% </w:t>
      </w:r>
      <w:r w:rsidR="00227AD6" w:rsidRPr="00D25BE7">
        <w:rPr>
          <w:rFonts w:asciiTheme="minorHAnsi" w:hAnsiTheme="minorHAnsi"/>
          <w:color w:val="000000" w:themeColor="text1"/>
          <w:lang w:val="en-GB"/>
        </w:rPr>
        <w:t>reduction</w:t>
      </w:r>
      <w:r w:rsidR="00524E7D" w:rsidRPr="00D25BE7">
        <w:rPr>
          <w:rFonts w:asciiTheme="minorHAnsi" w:hAnsiTheme="minorHAnsi"/>
          <w:color w:val="000000" w:themeColor="text1"/>
          <w:lang w:val="en-GB"/>
        </w:rPr>
        <w:t xml:space="preserve"> in </w:t>
      </w:r>
      <w:r w:rsidR="00227AD6" w:rsidRPr="00D25BE7">
        <w:rPr>
          <w:rFonts w:asciiTheme="minorHAnsi" w:hAnsiTheme="minorHAnsi"/>
          <w:color w:val="000000" w:themeColor="text1"/>
          <w:lang w:val="en-GB"/>
        </w:rPr>
        <w:t xml:space="preserve">tax payments </w:t>
      </w:r>
      <w:r w:rsidR="00F62352" w:rsidRPr="00D25BE7">
        <w:rPr>
          <w:rFonts w:asciiTheme="minorHAnsi" w:hAnsiTheme="minorHAnsi"/>
          <w:color w:val="000000" w:themeColor="text1"/>
          <w:lang w:val="en-GB"/>
        </w:rPr>
        <w:t xml:space="preserve">from </w:t>
      </w:r>
      <w:proofErr w:type="spellStart"/>
      <w:r w:rsidR="00F62352" w:rsidRPr="00D25BE7">
        <w:rPr>
          <w:rFonts w:asciiTheme="minorHAnsi" w:hAnsiTheme="minorHAnsi"/>
          <w:color w:val="000000" w:themeColor="text1"/>
          <w:lang w:val="en-GB"/>
        </w:rPr>
        <w:t>Letseng</w:t>
      </w:r>
      <w:proofErr w:type="spellEnd"/>
      <w:r w:rsidR="00F62352" w:rsidRPr="00D25BE7">
        <w:rPr>
          <w:rFonts w:asciiTheme="minorHAnsi" w:hAnsiTheme="minorHAnsi"/>
          <w:color w:val="000000" w:themeColor="text1"/>
          <w:lang w:val="en-GB"/>
        </w:rPr>
        <w:t xml:space="preserve"> </w:t>
      </w:r>
      <w:r w:rsidR="00227AD6" w:rsidRPr="00D25BE7">
        <w:rPr>
          <w:rFonts w:asciiTheme="minorHAnsi" w:hAnsiTheme="minorHAnsi"/>
          <w:color w:val="000000" w:themeColor="text1"/>
          <w:lang w:val="en-GB"/>
        </w:rPr>
        <w:t>to the government.</w:t>
      </w:r>
    </w:p>
    <w:p w14:paraId="0C2EB72B" w14:textId="41310E5D" w:rsidR="00A87F67" w:rsidRPr="00D25BE7" w:rsidRDefault="00F62352" w:rsidP="004E7664">
      <w:pPr>
        <w:pStyle w:val="ListParagraph"/>
        <w:ind w:left="426" w:hanging="426"/>
        <w:rPr>
          <w:rFonts w:asciiTheme="minorHAnsi" w:hAnsiTheme="minorHAnsi"/>
          <w:color w:val="FF0000"/>
          <w:lang w:val="en-GB"/>
        </w:rPr>
      </w:pPr>
      <w:r w:rsidRPr="00D25BE7">
        <w:rPr>
          <w:rFonts w:asciiTheme="minorHAnsi" w:hAnsiTheme="minorHAnsi"/>
          <w:color w:val="000000" w:themeColor="text1"/>
          <w:lang w:val="en-GB"/>
        </w:rPr>
        <w:t>A</w:t>
      </w:r>
      <w:r w:rsidR="004E4C03" w:rsidRPr="00D25BE7">
        <w:rPr>
          <w:rFonts w:asciiTheme="minorHAnsi" w:hAnsiTheme="minorHAnsi"/>
          <w:color w:val="000000" w:themeColor="text1"/>
          <w:lang w:val="en-GB"/>
        </w:rPr>
        <w:t xml:space="preserve"> useful trend is to note the overall increase in total asset values</w:t>
      </w:r>
      <w:r w:rsidR="00EA35B7" w:rsidRPr="00D25BE7">
        <w:rPr>
          <w:rFonts w:asciiTheme="minorHAnsi" w:hAnsiTheme="minorHAnsi"/>
          <w:color w:val="000000" w:themeColor="text1"/>
          <w:lang w:val="en-GB"/>
        </w:rPr>
        <w:t xml:space="preserve"> and</w:t>
      </w:r>
      <w:r w:rsidR="004E4C03" w:rsidRPr="00D25BE7">
        <w:rPr>
          <w:rFonts w:asciiTheme="minorHAnsi" w:hAnsiTheme="minorHAnsi"/>
          <w:color w:val="000000" w:themeColor="text1"/>
          <w:lang w:val="en-GB"/>
        </w:rPr>
        <w:t xml:space="preserve"> shareholders’ equity from the combined SOE portfolio</w:t>
      </w:r>
      <w:r w:rsidR="00A12A5A" w:rsidRPr="00D25BE7">
        <w:rPr>
          <w:rFonts w:asciiTheme="minorHAnsi" w:hAnsiTheme="minorHAnsi"/>
          <w:color w:val="000000" w:themeColor="text1"/>
          <w:lang w:val="en-GB"/>
        </w:rPr>
        <w:t xml:space="preserve"> over recent years</w:t>
      </w:r>
      <w:r w:rsidR="00A12A5A" w:rsidRPr="00D25BE7">
        <w:rPr>
          <w:rFonts w:asciiTheme="minorHAnsi" w:hAnsiTheme="minorHAnsi"/>
          <w:lang w:val="en-GB"/>
        </w:rPr>
        <w:t>.</w:t>
      </w:r>
    </w:p>
    <w:p w14:paraId="46972EB7" w14:textId="4B3B4C18" w:rsidR="004E4C03" w:rsidRPr="0084140E" w:rsidRDefault="004E4C03" w:rsidP="00A87F67">
      <w:pPr>
        <w:pStyle w:val="ListParagraph"/>
        <w:numPr>
          <w:ilvl w:val="0"/>
          <w:numId w:val="0"/>
        </w:numPr>
        <w:spacing w:after="0"/>
        <w:ind w:left="425"/>
        <w:rPr>
          <w:rFonts w:asciiTheme="minorHAnsi" w:hAnsiTheme="minorHAnsi"/>
          <w:b/>
          <w:sz w:val="20"/>
          <w:lang w:val="en-GB"/>
        </w:rPr>
      </w:pPr>
      <w:r w:rsidRPr="0084140E">
        <w:rPr>
          <w:rFonts w:asciiTheme="minorHAnsi" w:hAnsiTheme="minorHAnsi"/>
          <w:b/>
          <w:sz w:val="20"/>
          <w:lang w:val="en-GB"/>
        </w:rPr>
        <w:t xml:space="preserve">Figure </w:t>
      </w:r>
      <w:r w:rsidR="00D523C5" w:rsidRPr="0084140E">
        <w:rPr>
          <w:rFonts w:asciiTheme="minorHAnsi" w:hAnsiTheme="minorHAnsi"/>
          <w:b/>
          <w:sz w:val="20"/>
          <w:lang w:val="en-GB"/>
        </w:rPr>
        <w:t>3</w:t>
      </w:r>
      <w:r w:rsidRPr="0084140E">
        <w:rPr>
          <w:rFonts w:asciiTheme="minorHAnsi" w:hAnsiTheme="minorHAnsi"/>
          <w:b/>
          <w:sz w:val="20"/>
          <w:lang w:val="en-GB"/>
        </w:rPr>
        <w:t xml:space="preserve">. </w:t>
      </w:r>
      <w:r w:rsidR="00D24B01" w:rsidRPr="0084140E">
        <w:rPr>
          <w:rFonts w:asciiTheme="minorHAnsi" w:hAnsiTheme="minorHAnsi"/>
          <w:b/>
          <w:sz w:val="20"/>
          <w:lang w:val="en-GB"/>
        </w:rPr>
        <w:t>Total Portfolio Assets v Equity</w:t>
      </w:r>
    </w:p>
    <w:p w14:paraId="2D3B44B5" w14:textId="777E4E93" w:rsidR="00D24B01" w:rsidRDefault="007E4854" w:rsidP="00A87F67">
      <w:pPr>
        <w:pStyle w:val="ListParagraph"/>
        <w:numPr>
          <w:ilvl w:val="0"/>
          <w:numId w:val="0"/>
        </w:numPr>
        <w:spacing w:after="0"/>
        <w:ind w:left="425"/>
        <w:rPr>
          <w:rFonts w:asciiTheme="minorHAnsi" w:hAnsiTheme="minorHAnsi"/>
          <w:sz w:val="20"/>
          <w:lang w:val="en-GB"/>
        </w:rPr>
      </w:pPr>
      <w:r>
        <w:rPr>
          <w:noProof/>
        </w:rPr>
        <w:drawing>
          <wp:inline distT="0" distB="0" distL="0" distR="0" wp14:anchorId="2725124B" wp14:editId="38BCBAAB">
            <wp:extent cx="4502785" cy="2534920"/>
            <wp:effectExtent l="25400" t="25400" r="94615" b="10668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089F686" w14:textId="6DABB4D9" w:rsidR="00ED74CD" w:rsidRPr="007A0F4A" w:rsidRDefault="0099209F" w:rsidP="007A0F4A">
      <w:pPr>
        <w:ind w:firstLine="426"/>
        <w:rPr>
          <w:rFonts w:asciiTheme="minorHAnsi" w:hAnsiTheme="minorHAnsi"/>
          <w:i/>
          <w:sz w:val="18"/>
          <w:szCs w:val="18"/>
          <w:lang w:val="en-GB"/>
        </w:rPr>
      </w:pPr>
      <w:r w:rsidRPr="007A0F4A">
        <w:rPr>
          <w:rFonts w:asciiTheme="minorHAnsi" w:hAnsiTheme="minorHAnsi"/>
          <w:i/>
          <w:sz w:val="18"/>
          <w:szCs w:val="18"/>
          <w:lang w:val="en-GB"/>
        </w:rPr>
        <w:t>Source: AFS Various Years</w:t>
      </w:r>
    </w:p>
    <w:p w14:paraId="5876CEE6" w14:textId="77777777" w:rsidR="00293BC9" w:rsidRPr="00D25BE7" w:rsidRDefault="00293BC9" w:rsidP="00AD4945">
      <w:pPr>
        <w:ind w:left="1434" w:hanging="357"/>
        <w:rPr>
          <w:rFonts w:asciiTheme="minorHAnsi" w:hAnsiTheme="minorHAnsi"/>
          <w:lang w:val="en-GB"/>
        </w:rPr>
      </w:pPr>
    </w:p>
    <w:p w14:paraId="6E9C1226" w14:textId="14B9AE6E" w:rsidR="001D62B9" w:rsidRPr="007A0F4A" w:rsidRDefault="00876740" w:rsidP="007A0F4A">
      <w:pPr>
        <w:pStyle w:val="ListParagraph"/>
        <w:ind w:left="426" w:hanging="426"/>
        <w:rPr>
          <w:rFonts w:asciiTheme="minorHAnsi" w:hAnsiTheme="minorHAnsi"/>
          <w:color w:val="000000" w:themeColor="text1"/>
          <w:lang w:val="en-GB"/>
        </w:rPr>
      </w:pPr>
      <w:r w:rsidRPr="00A11CEC">
        <w:rPr>
          <w:rFonts w:asciiTheme="minorHAnsi" w:hAnsiTheme="minorHAnsi"/>
          <w:color w:val="000000" w:themeColor="text1"/>
          <w:lang w:val="en-GB"/>
        </w:rPr>
        <w:t xml:space="preserve">There is a positive trend of increasing SOE value. </w:t>
      </w:r>
      <w:r w:rsidR="00991AB8" w:rsidRPr="00A11CEC">
        <w:rPr>
          <w:rFonts w:asciiTheme="minorHAnsi" w:hAnsiTheme="minorHAnsi"/>
          <w:color w:val="000000" w:themeColor="text1"/>
          <w:lang w:val="en-GB"/>
        </w:rPr>
        <w:t xml:space="preserve">Based on shareholder’s equity, weighted according to Government/LNDC interest in respective SOEs, the government’s value in SOE’s </w:t>
      </w:r>
      <w:r w:rsidR="005D0383" w:rsidRPr="00A11CEC">
        <w:rPr>
          <w:rFonts w:asciiTheme="minorHAnsi" w:hAnsiTheme="minorHAnsi"/>
          <w:color w:val="000000" w:themeColor="text1"/>
          <w:lang w:val="en-GB"/>
        </w:rPr>
        <w:t>and its</w:t>
      </w:r>
      <w:r w:rsidR="00EC65A0" w:rsidRPr="00A11CEC">
        <w:rPr>
          <w:rFonts w:asciiTheme="minorHAnsi" w:hAnsiTheme="minorHAnsi"/>
          <w:color w:val="000000" w:themeColor="text1"/>
          <w:lang w:val="en-GB"/>
        </w:rPr>
        <w:t xml:space="preserve"> minority investments </w:t>
      </w:r>
      <w:r w:rsidR="00991AB8" w:rsidRPr="00A11CEC">
        <w:rPr>
          <w:rFonts w:asciiTheme="minorHAnsi" w:hAnsiTheme="minorHAnsi"/>
          <w:color w:val="000000" w:themeColor="text1"/>
          <w:lang w:val="en-GB"/>
        </w:rPr>
        <w:t>h</w:t>
      </w:r>
      <w:r w:rsidR="0099209F">
        <w:rPr>
          <w:rFonts w:asciiTheme="minorHAnsi" w:hAnsiTheme="minorHAnsi"/>
          <w:color w:val="000000" w:themeColor="text1"/>
          <w:lang w:val="en-GB"/>
        </w:rPr>
        <w:t>ave</w:t>
      </w:r>
      <w:r w:rsidR="00991AB8" w:rsidRPr="00A11CEC">
        <w:rPr>
          <w:rFonts w:asciiTheme="minorHAnsi" w:hAnsiTheme="minorHAnsi"/>
          <w:color w:val="000000" w:themeColor="text1"/>
          <w:lang w:val="en-GB"/>
        </w:rPr>
        <w:t xml:space="preserve"> progressively risen to US$4</w:t>
      </w:r>
      <w:r w:rsidR="005D0383" w:rsidRPr="00A11CEC">
        <w:rPr>
          <w:rFonts w:asciiTheme="minorHAnsi" w:hAnsiTheme="minorHAnsi"/>
          <w:color w:val="000000" w:themeColor="text1"/>
          <w:lang w:val="en-GB"/>
        </w:rPr>
        <w:t>4</w:t>
      </w:r>
      <w:r w:rsidR="00E41B96">
        <w:rPr>
          <w:rFonts w:asciiTheme="minorHAnsi" w:hAnsiTheme="minorHAnsi"/>
          <w:color w:val="000000" w:themeColor="text1"/>
          <w:lang w:val="en-GB"/>
        </w:rPr>
        <w:t>7</w:t>
      </w:r>
      <w:r w:rsidR="00991AB8" w:rsidRPr="00A11CEC">
        <w:rPr>
          <w:rFonts w:asciiTheme="minorHAnsi" w:hAnsiTheme="minorHAnsi"/>
          <w:color w:val="000000" w:themeColor="text1"/>
          <w:lang w:val="en-GB"/>
        </w:rPr>
        <w:t>M in FY’1</w:t>
      </w:r>
      <w:r w:rsidR="005D0383" w:rsidRPr="00A11CEC">
        <w:rPr>
          <w:rFonts w:asciiTheme="minorHAnsi" w:hAnsiTheme="minorHAnsi"/>
          <w:color w:val="000000" w:themeColor="text1"/>
          <w:lang w:val="en-GB"/>
        </w:rPr>
        <w:t>8</w:t>
      </w:r>
      <w:r w:rsidR="00EC65A0" w:rsidRPr="00A11CEC">
        <w:rPr>
          <w:rFonts w:asciiTheme="minorHAnsi" w:hAnsiTheme="minorHAnsi"/>
          <w:color w:val="000000" w:themeColor="text1"/>
          <w:lang w:val="en-GB"/>
        </w:rPr>
        <w:t>.</w:t>
      </w:r>
      <w:r w:rsidR="00991AB8" w:rsidRPr="00A11CEC">
        <w:rPr>
          <w:rFonts w:asciiTheme="minorHAnsi" w:hAnsiTheme="minorHAnsi"/>
          <w:color w:val="000000" w:themeColor="text1"/>
          <w:lang w:val="en-GB"/>
        </w:rPr>
        <w:t xml:space="preserve"> </w:t>
      </w:r>
    </w:p>
    <w:p w14:paraId="4F083587" w14:textId="2A505E37" w:rsidR="007E7E52" w:rsidRPr="00A11CEC" w:rsidRDefault="004F71F9" w:rsidP="00A11CEC">
      <w:pPr>
        <w:pStyle w:val="ListParagraph"/>
        <w:ind w:left="426" w:hanging="426"/>
        <w:rPr>
          <w:rFonts w:asciiTheme="minorHAnsi" w:hAnsiTheme="minorHAnsi"/>
          <w:lang w:val="en-GB"/>
        </w:rPr>
      </w:pPr>
      <w:r w:rsidRPr="000177B4">
        <w:rPr>
          <w:rFonts w:asciiTheme="minorHAnsi" w:hAnsiTheme="minorHAnsi"/>
          <w:lang w:val="en-GB"/>
        </w:rPr>
        <w:t xml:space="preserve">Categorised by total revenue and total assets </w:t>
      </w:r>
      <w:proofErr w:type="spellStart"/>
      <w:r w:rsidRPr="00A11CEC">
        <w:rPr>
          <w:rFonts w:asciiTheme="minorHAnsi" w:hAnsiTheme="minorHAnsi"/>
          <w:lang w:val="en-GB"/>
        </w:rPr>
        <w:t>Letseng</w:t>
      </w:r>
      <w:proofErr w:type="spellEnd"/>
      <w:r w:rsidRPr="00A11CEC">
        <w:rPr>
          <w:rFonts w:asciiTheme="minorHAnsi" w:hAnsiTheme="minorHAnsi"/>
          <w:lang w:val="en-GB"/>
        </w:rPr>
        <w:t xml:space="preserve"> Diamonds and Lesotho Standard Bank are the two largest</w:t>
      </w:r>
      <w:r w:rsidRPr="000177B4">
        <w:rPr>
          <w:rFonts w:asciiTheme="minorHAnsi" w:hAnsiTheme="minorHAnsi"/>
          <w:lang w:val="en-GB"/>
        </w:rPr>
        <w:t xml:space="preserve"> enterprises within the government portfolio. </w:t>
      </w:r>
    </w:p>
    <w:p w14:paraId="4F4A7AB4" w14:textId="466B910F" w:rsidR="004B7C05" w:rsidRPr="00D25BE7" w:rsidRDefault="00955E5D" w:rsidP="00E512CD">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As well as review</w:t>
      </w:r>
      <w:r w:rsidR="00991AB8" w:rsidRPr="00D25BE7">
        <w:rPr>
          <w:rFonts w:asciiTheme="minorHAnsi" w:hAnsiTheme="minorHAnsi"/>
          <w:color w:val="000000" w:themeColor="text1"/>
          <w:lang w:val="en-GB"/>
        </w:rPr>
        <w:t>ing</w:t>
      </w:r>
      <w:r w:rsidRPr="00D25BE7">
        <w:rPr>
          <w:rFonts w:asciiTheme="minorHAnsi" w:hAnsiTheme="minorHAnsi"/>
          <w:color w:val="000000" w:themeColor="text1"/>
          <w:lang w:val="en-GB"/>
        </w:rPr>
        <w:t xml:space="preserve"> SOE </w:t>
      </w:r>
      <w:r w:rsidR="0035187A" w:rsidRPr="00D25BE7">
        <w:rPr>
          <w:rFonts w:asciiTheme="minorHAnsi" w:hAnsiTheme="minorHAnsi"/>
          <w:color w:val="000000" w:themeColor="text1"/>
          <w:lang w:val="en-GB"/>
        </w:rPr>
        <w:t>r</w:t>
      </w:r>
      <w:r w:rsidRPr="00D25BE7">
        <w:rPr>
          <w:rFonts w:asciiTheme="minorHAnsi" w:hAnsiTheme="minorHAnsi"/>
          <w:color w:val="000000" w:themeColor="text1"/>
          <w:lang w:val="en-GB"/>
        </w:rPr>
        <w:t>evenues and revenue growth</w:t>
      </w:r>
      <w:r w:rsidR="009C28EF" w:rsidRPr="00D25BE7">
        <w:rPr>
          <w:rFonts w:asciiTheme="minorHAnsi" w:hAnsiTheme="minorHAnsi"/>
          <w:color w:val="000000" w:themeColor="text1"/>
          <w:lang w:val="en-GB"/>
        </w:rPr>
        <w:t xml:space="preserve">, SOE performance needs to be assessed based on other criteria. Although there are many financial and non-financial key performance indicators (KPIs) to use in a comprehensive performance assessment, significant care is needed in how such data is applied. Generally, it is incumbent upon effective businesses themselves to monitor and assess their own performance, through analysis of and interpretation of relevant KPIs. As this Report is an overview, care is needed in how KPIs are used because they are not always consistent across different SOEs, or relevant to each in the same </w:t>
      </w:r>
      <w:r w:rsidR="005C5B2C" w:rsidRPr="00D25BE7">
        <w:rPr>
          <w:rFonts w:asciiTheme="minorHAnsi" w:hAnsiTheme="minorHAnsi"/>
          <w:color w:val="000000" w:themeColor="text1"/>
          <w:lang w:val="en-GB"/>
        </w:rPr>
        <w:t xml:space="preserve">way and to the same extent. </w:t>
      </w:r>
    </w:p>
    <w:p w14:paraId="393917E4" w14:textId="7750BD53" w:rsidR="009C28EF" w:rsidRPr="00D25BE7" w:rsidRDefault="009C28EF" w:rsidP="00E512CD">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 xml:space="preserve">For the above reasons, </w:t>
      </w:r>
      <w:r w:rsidR="007C1259" w:rsidRPr="00D25BE7">
        <w:rPr>
          <w:rFonts w:asciiTheme="minorHAnsi" w:hAnsiTheme="minorHAnsi"/>
          <w:color w:val="000000" w:themeColor="text1"/>
          <w:lang w:val="en-GB"/>
        </w:rPr>
        <w:t xml:space="preserve">this report </w:t>
      </w:r>
      <w:r w:rsidR="000177B4">
        <w:rPr>
          <w:rFonts w:asciiTheme="minorHAnsi" w:hAnsiTheme="minorHAnsi"/>
          <w:color w:val="000000" w:themeColor="text1"/>
          <w:lang w:val="en-GB"/>
        </w:rPr>
        <w:t xml:space="preserve">primarily </w:t>
      </w:r>
      <w:r w:rsidR="007C1259" w:rsidRPr="00D25BE7">
        <w:rPr>
          <w:rFonts w:asciiTheme="minorHAnsi" w:hAnsiTheme="minorHAnsi"/>
          <w:color w:val="000000" w:themeColor="text1"/>
          <w:lang w:val="en-GB"/>
        </w:rPr>
        <w:t>focuses</w:t>
      </w:r>
      <w:r w:rsidRPr="00D25BE7">
        <w:rPr>
          <w:rFonts w:asciiTheme="minorHAnsi" w:hAnsiTheme="minorHAnsi"/>
          <w:color w:val="000000" w:themeColor="text1"/>
          <w:lang w:val="en-GB"/>
        </w:rPr>
        <w:t xml:space="preserve"> </w:t>
      </w:r>
      <w:r w:rsidR="007C1259" w:rsidRPr="00D25BE7">
        <w:rPr>
          <w:rFonts w:asciiTheme="minorHAnsi" w:hAnsiTheme="minorHAnsi"/>
          <w:color w:val="000000" w:themeColor="text1"/>
          <w:lang w:val="en-GB"/>
        </w:rPr>
        <w:t xml:space="preserve">on </w:t>
      </w:r>
      <w:r w:rsidRPr="00D25BE7">
        <w:rPr>
          <w:rFonts w:asciiTheme="minorHAnsi" w:hAnsiTheme="minorHAnsi"/>
          <w:color w:val="000000" w:themeColor="text1"/>
          <w:lang w:val="en-GB"/>
        </w:rPr>
        <w:t>general financial performance criteria. As the knowledge bank improves and available data is more reliable, so the range of KPIs used in assessment may expand.</w:t>
      </w:r>
      <w:r w:rsidR="001D3B4A" w:rsidRPr="00D25BE7">
        <w:rPr>
          <w:rFonts w:asciiTheme="minorHAnsi" w:hAnsiTheme="minorHAnsi"/>
          <w:color w:val="000000" w:themeColor="text1"/>
          <w:lang w:val="en-GB"/>
        </w:rPr>
        <w:t xml:space="preserve"> Annex </w:t>
      </w:r>
      <w:r w:rsidR="0082212B" w:rsidRPr="00D25BE7">
        <w:rPr>
          <w:rFonts w:asciiTheme="minorHAnsi" w:hAnsiTheme="minorHAnsi"/>
          <w:color w:val="000000" w:themeColor="text1"/>
          <w:lang w:val="en-GB"/>
        </w:rPr>
        <w:t>1</w:t>
      </w:r>
      <w:r w:rsidR="001D3B4A" w:rsidRPr="00D25BE7">
        <w:rPr>
          <w:rFonts w:asciiTheme="minorHAnsi" w:hAnsiTheme="minorHAnsi"/>
          <w:color w:val="000000" w:themeColor="text1"/>
          <w:lang w:val="en-GB"/>
        </w:rPr>
        <w:t xml:space="preserve"> explains </w:t>
      </w:r>
      <w:r w:rsidR="00B04691" w:rsidRPr="00D25BE7">
        <w:rPr>
          <w:rFonts w:asciiTheme="minorHAnsi" w:hAnsiTheme="minorHAnsi"/>
          <w:color w:val="000000" w:themeColor="text1"/>
          <w:lang w:val="en-GB"/>
        </w:rPr>
        <w:t>selected KPI’s and how they are calculated</w:t>
      </w:r>
      <w:r w:rsidR="001D3B4A" w:rsidRPr="00D25BE7">
        <w:rPr>
          <w:rFonts w:asciiTheme="minorHAnsi" w:hAnsiTheme="minorHAnsi"/>
          <w:color w:val="000000" w:themeColor="text1"/>
          <w:lang w:val="en-GB"/>
        </w:rPr>
        <w:t>.</w:t>
      </w:r>
    </w:p>
    <w:p w14:paraId="70EB306F" w14:textId="6B80A180" w:rsidR="004068E2" w:rsidRPr="00D25BE7" w:rsidRDefault="00D525F8" w:rsidP="009A4F70">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lastRenderedPageBreak/>
        <w:t xml:space="preserve">Also, each SOE is at a different stage of its business or life cycle. Each SOE has a different focus relating to short-term liquidity needs, achieving consistent levels of profitability and/or financing expansion and sustainable growth. As indicated, some SOEs are non-trading entities so overall comparisons can be misleading if not given due care. </w:t>
      </w:r>
      <w:r w:rsidR="006808C7" w:rsidRPr="00D25BE7">
        <w:rPr>
          <w:rFonts w:asciiTheme="minorHAnsi" w:hAnsiTheme="minorHAnsi"/>
          <w:color w:val="000000" w:themeColor="text1"/>
          <w:lang w:val="en-GB"/>
        </w:rPr>
        <w:t xml:space="preserve">It is also important to consider the social service </w:t>
      </w:r>
      <w:r w:rsidR="00436ED2" w:rsidRPr="00D25BE7">
        <w:rPr>
          <w:rFonts w:asciiTheme="minorHAnsi" w:hAnsiTheme="minorHAnsi"/>
          <w:color w:val="000000" w:themeColor="text1"/>
          <w:lang w:val="en-GB"/>
        </w:rPr>
        <w:t xml:space="preserve">(or social policy) </w:t>
      </w:r>
      <w:r w:rsidR="006808C7" w:rsidRPr="00D25BE7">
        <w:rPr>
          <w:rFonts w:asciiTheme="minorHAnsi" w:hAnsiTheme="minorHAnsi"/>
          <w:color w:val="000000" w:themeColor="text1"/>
          <w:lang w:val="en-GB"/>
        </w:rPr>
        <w:t>obligation</w:t>
      </w:r>
      <w:r w:rsidR="00436ED2" w:rsidRPr="00D25BE7">
        <w:rPr>
          <w:rFonts w:asciiTheme="minorHAnsi" w:hAnsiTheme="minorHAnsi"/>
          <w:color w:val="000000" w:themeColor="text1"/>
          <w:lang w:val="en-GB"/>
        </w:rPr>
        <w:t>s</w:t>
      </w:r>
      <w:r w:rsidR="006808C7" w:rsidRPr="00D25BE7">
        <w:rPr>
          <w:rFonts w:asciiTheme="minorHAnsi" w:hAnsiTheme="minorHAnsi"/>
          <w:color w:val="000000" w:themeColor="text1"/>
          <w:lang w:val="en-GB"/>
        </w:rPr>
        <w:t xml:space="preserve"> of </w:t>
      </w:r>
      <w:r w:rsidR="00436ED2" w:rsidRPr="00D25BE7">
        <w:rPr>
          <w:rFonts w:asciiTheme="minorHAnsi" w:hAnsiTheme="minorHAnsi"/>
          <w:color w:val="000000" w:themeColor="text1"/>
          <w:lang w:val="en-GB"/>
        </w:rPr>
        <w:t xml:space="preserve">some of </w:t>
      </w:r>
      <w:r w:rsidR="006808C7" w:rsidRPr="00D25BE7">
        <w:rPr>
          <w:rFonts w:asciiTheme="minorHAnsi" w:hAnsiTheme="minorHAnsi"/>
          <w:color w:val="000000" w:themeColor="text1"/>
          <w:lang w:val="en-GB"/>
        </w:rPr>
        <w:t xml:space="preserve">the 100% Government-owned SOEs. </w:t>
      </w:r>
    </w:p>
    <w:p w14:paraId="08FA665F" w14:textId="683B1B93" w:rsidR="00F61E8A" w:rsidRPr="00A11CEC" w:rsidRDefault="00F61E8A" w:rsidP="00F61E8A">
      <w:pPr>
        <w:ind w:firstLine="426"/>
        <w:rPr>
          <w:rFonts w:asciiTheme="minorHAnsi" w:hAnsiTheme="minorHAnsi"/>
          <w:b/>
          <w:sz w:val="20"/>
          <w:lang w:val="en-GB"/>
        </w:rPr>
      </w:pPr>
      <w:r w:rsidRPr="00A11CEC">
        <w:rPr>
          <w:rFonts w:asciiTheme="minorHAnsi" w:hAnsiTheme="minorHAnsi"/>
          <w:b/>
          <w:sz w:val="20"/>
          <w:lang w:val="en-GB"/>
        </w:rPr>
        <w:t xml:space="preserve">Figure </w:t>
      </w:r>
      <w:r w:rsidR="00274805" w:rsidRPr="00A11CEC">
        <w:rPr>
          <w:rFonts w:asciiTheme="minorHAnsi" w:hAnsiTheme="minorHAnsi"/>
          <w:b/>
          <w:sz w:val="20"/>
          <w:lang w:val="en-GB"/>
        </w:rPr>
        <w:t>4</w:t>
      </w:r>
      <w:r w:rsidR="007B0447" w:rsidRPr="00A11CEC">
        <w:rPr>
          <w:rFonts w:asciiTheme="minorHAnsi" w:hAnsiTheme="minorHAnsi"/>
          <w:b/>
          <w:sz w:val="20"/>
          <w:lang w:val="en-GB"/>
        </w:rPr>
        <w:t xml:space="preserve">. </w:t>
      </w:r>
      <w:r w:rsidR="00091330" w:rsidRPr="00A11CEC">
        <w:rPr>
          <w:rFonts w:asciiTheme="minorHAnsi" w:hAnsiTheme="minorHAnsi"/>
          <w:b/>
          <w:sz w:val="20"/>
          <w:lang w:val="en-GB"/>
        </w:rPr>
        <w:t>Total Portfolio Returns</w:t>
      </w:r>
    </w:p>
    <w:p w14:paraId="57D8673B" w14:textId="77777777" w:rsidR="00274805" w:rsidRPr="00D25BE7" w:rsidRDefault="00274805" w:rsidP="00F61E8A">
      <w:pPr>
        <w:ind w:firstLine="426"/>
        <w:rPr>
          <w:rFonts w:asciiTheme="minorHAnsi" w:hAnsiTheme="minorHAnsi"/>
          <w:sz w:val="20"/>
          <w:lang w:val="en-GB"/>
        </w:rPr>
      </w:pPr>
    </w:p>
    <w:p w14:paraId="2343AF8C" w14:textId="675FD6FD" w:rsidR="00F61E8A" w:rsidRPr="00D25BE7" w:rsidRDefault="005330E1" w:rsidP="00D25BE7">
      <w:pPr>
        <w:ind w:left="1434" w:hanging="357"/>
        <w:rPr>
          <w:rFonts w:asciiTheme="minorHAnsi" w:hAnsiTheme="minorHAnsi"/>
          <w:color w:val="000000" w:themeColor="text1"/>
          <w:lang w:val="en-GB"/>
        </w:rPr>
      </w:pPr>
      <w:r>
        <w:rPr>
          <w:noProof/>
        </w:rPr>
        <w:drawing>
          <wp:inline distT="0" distB="0" distL="0" distR="0" wp14:anchorId="62C79EBF" wp14:editId="19CD994E">
            <wp:extent cx="4231005" cy="2501900"/>
            <wp:effectExtent l="25400" t="25400" r="112395" b="889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A8523C" w14:textId="3265680F" w:rsidR="00C07C38" w:rsidRPr="00D25BE7" w:rsidRDefault="00C07C38" w:rsidP="00595E83">
      <w:pPr>
        <w:pStyle w:val="ListParagraph"/>
        <w:numPr>
          <w:ilvl w:val="0"/>
          <w:numId w:val="0"/>
        </w:numPr>
        <w:ind w:left="426"/>
        <w:rPr>
          <w:rFonts w:asciiTheme="minorHAnsi" w:hAnsiTheme="minorHAnsi"/>
          <w:color w:val="000000" w:themeColor="text1"/>
          <w:lang w:val="en-GB"/>
        </w:rPr>
      </w:pPr>
    </w:p>
    <w:p w14:paraId="676832B4" w14:textId="329C3367" w:rsidR="00A81383" w:rsidRPr="00A52B68" w:rsidRDefault="00A81383" w:rsidP="00A52B68">
      <w:pPr>
        <w:ind w:left="426"/>
        <w:rPr>
          <w:rFonts w:asciiTheme="minorHAnsi" w:hAnsiTheme="minorHAnsi"/>
          <w:i/>
          <w:color w:val="000000" w:themeColor="text1"/>
          <w:sz w:val="20"/>
          <w:lang w:val="en-GB"/>
        </w:rPr>
      </w:pPr>
      <w:r w:rsidRPr="00A52B68">
        <w:rPr>
          <w:rFonts w:asciiTheme="minorHAnsi" w:hAnsiTheme="minorHAnsi"/>
          <w:i/>
          <w:color w:val="000000" w:themeColor="text1"/>
          <w:sz w:val="20"/>
          <w:lang w:val="en-GB"/>
        </w:rPr>
        <w:t>Source</w:t>
      </w:r>
      <w:r w:rsidR="00884BD7">
        <w:rPr>
          <w:rFonts w:asciiTheme="minorHAnsi" w:hAnsiTheme="minorHAnsi"/>
          <w:i/>
          <w:color w:val="000000" w:themeColor="text1"/>
          <w:sz w:val="20"/>
          <w:lang w:val="en-GB"/>
        </w:rPr>
        <w:t>:</w:t>
      </w:r>
      <w:r w:rsidRPr="00A52B68">
        <w:rPr>
          <w:rFonts w:asciiTheme="minorHAnsi" w:hAnsiTheme="minorHAnsi"/>
          <w:i/>
          <w:color w:val="000000" w:themeColor="text1"/>
          <w:sz w:val="20"/>
          <w:lang w:val="en-GB"/>
        </w:rPr>
        <w:t xml:space="preserve"> AFS Various Years</w:t>
      </w:r>
    </w:p>
    <w:p w14:paraId="231E755E" w14:textId="77777777" w:rsidR="00A81383" w:rsidRPr="00A52B68" w:rsidRDefault="00A81383" w:rsidP="00A52B68">
      <w:pPr>
        <w:rPr>
          <w:rFonts w:asciiTheme="minorHAnsi" w:hAnsiTheme="minorHAnsi"/>
          <w:color w:val="000000" w:themeColor="text1"/>
          <w:lang w:val="en-GB"/>
        </w:rPr>
      </w:pPr>
    </w:p>
    <w:p w14:paraId="4F04BFCF" w14:textId="40C0AC9A" w:rsidR="00491FEC" w:rsidRPr="00A52B68" w:rsidRDefault="00C35344" w:rsidP="00A52B68">
      <w:pPr>
        <w:pStyle w:val="ListParagraph"/>
        <w:ind w:left="426" w:hanging="426"/>
        <w:rPr>
          <w:rFonts w:asciiTheme="minorHAnsi" w:hAnsiTheme="minorHAnsi"/>
          <w:color w:val="000000" w:themeColor="text1"/>
          <w:lang w:val="en-GB"/>
        </w:rPr>
      </w:pPr>
      <w:r w:rsidRPr="007B0447">
        <w:rPr>
          <w:rFonts w:asciiTheme="minorHAnsi" w:hAnsiTheme="minorHAnsi"/>
          <w:color w:val="000000" w:themeColor="text1"/>
          <w:lang w:val="en-GB"/>
        </w:rPr>
        <w:t xml:space="preserve">Generally, the portfolio as a whole shows performance to fiscal year 2017/18 of sustained EBITDA growth whilst NOPAT has been weaker. </w:t>
      </w:r>
      <w:r w:rsidR="00091330" w:rsidRPr="00244ECB">
        <w:rPr>
          <w:rFonts w:asciiTheme="minorHAnsi" w:hAnsiTheme="minorHAnsi"/>
          <w:color w:val="000000" w:themeColor="text1"/>
          <w:lang w:val="en-GB"/>
        </w:rPr>
        <w:t>However, w</w:t>
      </w:r>
      <w:r w:rsidRPr="00244ECB">
        <w:rPr>
          <w:rFonts w:asciiTheme="minorHAnsi" w:hAnsiTheme="minorHAnsi"/>
          <w:color w:val="000000" w:themeColor="text1"/>
          <w:lang w:val="en-GB"/>
        </w:rPr>
        <w:t>hilst we saw in Figure 3 that there have been positive increa</w:t>
      </w:r>
      <w:r w:rsidRPr="00794B72">
        <w:rPr>
          <w:rFonts w:asciiTheme="minorHAnsi" w:hAnsiTheme="minorHAnsi"/>
          <w:color w:val="000000" w:themeColor="text1"/>
          <w:lang w:val="en-GB"/>
        </w:rPr>
        <w:t xml:space="preserve">ses in Total Assets and Equity neither Return on Equity nor Return on Assets has demonstrated similar improvements. This indicates that companies in the portfolio have become less efficient </w:t>
      </w:r>
      <w:r w:rsidRPr="00A11CEC">
        <w:rPr>
          <w:rFonts w:asciiTheme="minorHAnsi" w:hAnsiTheme="minorHAnsi"/>
          <w:color w:val="000000" w:themeColor="text1"/>
          <w:lang w:val="en-GB"/>
        </w:rPr>
        <w:t>in the way management are deploying capital.</w:t>
      </w:r>
    </w:p>
    <w:p w14:paraId="22CCF3AE" w14:textId="65A19BE3" w:rsidR="007C4393" w:rsidRPr="00A11CEC" w:rsidRDefault="00491FEC" w:rsidP="007C4393">
      <w:pPr>
        <w:pStyle w:val="ListParagraph"/>
        <w:ind w:left="426" w:hanging="426"/>
        <w:rPr>
          <w:rFonts w:asciiTheme="minorHAnsi" w:hAnsiTheme="minorHAnsi"/>
          <w:color w:val="FF0000"/>
          <w:lang w:val="en-GB"/>
        </w:rPr>
      </w:pPr>
      <w:r w:rsidRPr="00A11CEC">
        <w:rPr>
          <w:rFonts w:asciiTheme="minorHAnsi" w:hAnsiTheme="minorHAnsi"/>
          <w:color w:val="000000" w:themeColor="text1"/>
          <w:lang w:val="en-GB"/>
        </w:rPr>
        <w:t xml:space="preserve">More useful and </w:t>
      </w:r>
      <w:r w:rsidR="000B6E53" w:rsidRPr="00A11CEC">
        <w:rPr>
          <w:rFonts w:asciiTheme="minorHAnsi" w:hAnsiTheme="minorHAnsi"/>
          <w:color w:val="000000" w:themeColor="text1"/>
          <w:lang w:val="en-GB"/>
        </w:rPr>
        <w:t>relevant</w:t>
      </w:r>
      <w:r w:rsidRPr="00A11CEC">
        <w:rPr>
          <w:rFonts w:asciiTheme="minorHAnsi" w:hAnsiTheme="minorHAnsi"/>
          <w:color w:val="000000" w:themeColor="text1"/>
          <w:lang w:val="en-GB"/>
        </w:rPr>
        <w:t xml:space="preserve"> understanding is derived from analysis of the group performances </w:t>
      </w:r>
      <w:r w:rsidR="000B6E53" w:rsidRPr="00A11CEC">
        <w:rPr>
          <w:rFonts w:asciiTheme="minorHAnsi" w:hAnsiTheme="minorHAnsi"/>
          <w:color w:val="000000" w:themeColor="text1"/>
          <w:lang w:val="en-GB"/>
        </w:rPr>
        <w:t>and</w:t>
      </w:r>
      <w:r w:rsidRPr="00A11CEC">
        <w:rPr>
          <w:rFonts w:asciiTheme="minorHAnsi" w:hAnsiTheme="minorHAnsi"/>
          <w:color w:val="000000" w:themeColor="text1"/>
          <w:lang w:val="en-GB"/>
        </w:rPr>
        <w:t xml:space="preserve"> from </w:t>
      </w:r>
      <w:r w:rsidR="000B6E53" w:rsidRPr="00A11CEC">
        <w:rPr>
          <w:rFonts w:asciiTheme="minorHAnsi" w:hAnsiTheme="minorHAnsi"/>
          <w:color w:val="000000" w:themeColor="text1"/>
          <w:lang w:val="en-GB"/>
        </w:rPr>
        <w:t xml:space="preserve">the </w:t>
      </w:r>
      <w:r w:rsidRPr="00A11CEC">
        <w:rPr>
          <w:rFonts w:asciiTheme="minorHAnsi" w:hAnsiTheme="minorHAnsi"/>
          <w:color w:val="000000" w:themeColor="text1"/>
          <w:lang w:val="en-GB"/>
        </w:rPr>
        <w:t>individual SOE performances</w:t>
      </w:r>
      <w:r w:rsidR="00FC1628" w:rsidRPr="00A11CEC">
        <w:rPr>
          <w:rFonts w:asciiTheme="minorHAnsi" w:hAnsiTheme="minorHAnsi"/>
          <w:color w:val="000000" w:themeColor="text1"/>
          <w:lang w:val="en-GB"/>
        </w:rPr>
        <w:t xml:space="preserve"> that is cont</w:t>
      </w:r>
      <w:r w:rsidR="007C4393" w:rsidRPr="00A11CEC">
        <w:rPr>
          <w:rFonts w:asciiTheme="minorHAnsi" w:hAnsiTheme="minorHAnsi"/>
          <w:color w:val="000000" w:themeColor="text1"/>
          <w:lang w:val="en-GB"/>
        </w:rPr>
        <w:t>ained in the following sections. In analysing each of the groups it is clear profitability is driven by the Government minority holdings; however, higher returns on assets and equity are achieved in the group of investments through LNDC that afford Government controlling interest.</w:t>
      </w:r>
    </w:p>
    <w:p w14:paraId="3B968CAA" w14:textId="12D2F39E" w:rsidR="009C28EF" w:rsidRPr="00A11CEC" w:rsidRDefault="009C28EF" w:rsidP="00A11CEC">
      <w:pPr>
        <w:rPr>
          <w:rFonts w:asciiTheme="minorHAnsi" w:hAnsiTheme="minorHAnsi"/>
          <w:color w:val="000000" w:themeColor="text1"/>
          <w:lang w:val="en-GB"/>
        </w:rPr>
      </w:pPr>
    </w:p>
    <w:p w14:paraId="03601DFE" w14:textId="41D8A361" w:rsidR="00D9270B" w:rsidRPr="00D25BE7" w:rsidRDefault="004516B2" w:rsidP="003A5E0F">
      <w:pPr>
        <w:pStyle w:val="Heading1"/>
        <w:rPr>
          <w:rFonts w:asciiTheme="minorHAnsi" w:hAnsiTheme="minorHAnsi"/>
        </w:rPr>
      </w:pPr>
      <w:bookmarkStart w:id="11" w:name="_Toc455467801"/>
      <w:r w:rsidRPr="00D25BE7">
        <w:rPr>
          <w:rFonts w:asciiTheme="minorHAnsi" w:hAnsiTheme="minorHAnsi"/>
        </w:rPr>
        <w:t>GOVERNMENT 100% OWNERSHIP PERFORMANCE TO FY 201</w:t>
      </w:r>
      <w:r w:rsidR="007C4393" w:rsidRPr="00D25BE7">
        <w:rPr>
          <w:rFonts w:asciiTheme="minorHAnsi" w:hAnsiTheme="minorHAnsi"/>
        </w:rPr>
        <w:t>8</w:t>
      </w:r>
      <w:bookmarkEnd w:id="11"/>
    </w:p>
    <w:p w14:paraId="3120B2D9" w14:textId="77777777" w:rsidR="00091330" w:rsidRPr="00A11CEC" w:rsidRDefault="00091330" w:rsidP="00A11CEC">
      <w:pPr>
        <w:ind w:left="928" w:hanging="360"/>
        <w:rPr>
          <w:rFonts w:asciiTheme="minorHAnsi" w:hAnsiTheme="minorHAnsi"/>
          <w:lang w:val="en-GB"/>
        </w:rPr>
      </w:pPr>
    </w:p>
    <w:p w14:paraId="6180B216" w14:textId="6062C46B" w:rsidR="00C60A70" w:rsidRPr="00A11CEC" w:rsidRDefault="003C3628" w:rsidP="000B6E53">
      <w:pPr>
        <w:pStyle w:val="ListParagraph"/>
        <w:ind w:left="426" w:hanging="426"/>
        <w:rPr>
          <w:rFonts w:asciiTheme="minorHAnsi" w:hAnsiTheme="minorHAnsi"/>
          <w:b/>
          <w:lang w:val="en-GB"/>
        </w:rPr>
      </w:pPr>
      <w:r w:rsidRPr="00A11CEC">
        <w:rPr>
          <w:rFonts w:asciiTheme="minorHAnsi" w:hAnsiTheme="minorHAnsi"/>
          <w:b/>
          <w:lang w:val="en-GB"/>
        </w:rPr>
        <w:t>Table</w:t>
      </w:r>
      <w:r w:rsidR="005826E0" w:rsidRPr="00A11CEC">
        <w:rPr>
          <w:rFonts w:asciiTheme="minorHAnsi" w:hAnsiTheme="minorHAnsi"/>
          <w:b/>
          <w:lang w:val="en-GB"/>
        </w:rPr>
        <w:t xml:space="preserve"> </w:t>
      </w:r>
      <w:r w:rsidR="00244ECB" w:rsidRPr="00A11CEC">
        <w:rPr>
          <w:rFonts w:asciiTheme="minorHAnsi" w:hAnsiTheme="minorHAnsi"/>
          <w:b/>
          <w:lang w:val="en-GB"/>
        </w:rPr>
        <w:t>2</w:t>
      </w:r>
      <w:r w:rsidR="00C17BD1">
        <w:rPr>
          <w:rFonts w:asciiTheme="minorHAnsi" w:hAnsiTheme="minorHAnsi"/>
          <w:b/>
          <w:lang w:val="en-GB"/>
        </w:rPr>
        <w:t>:</w:t>
      </w:r>
      <w:r w:rsidR="00244ECB" w:rsidRPr="00A11CEC">
        <w:rPr>
          <w:rFonts w:asciiTheme="minorHAnsi" w:hAnsiTheme="minorHAnsi"/>
          <w:b/>
          <w:lang w:val="en-GB"/>
        </w:rPr>
        <w:t xml:space="preserve"> </w:t>
      </w:r>
      <w:r w:rsidR="005826E0" w:rsidRPr="00A11CEC">
        <w:rPr>
          <w:rFonts w:asciiTheme="minorHAnsi" w:hAnsiTheme="minorHAnsi"/>
          <w:b/>
          <w:lang w:val="en-GB"/>
        </w:rPr>
        <w:t>Total Revenue of 100% owned SOES as percentage of GDP</w:t>
      </w:r>
    </w:p>
    <w:tbl>
      <w:tblPr>
        <w:tblStyle w:val="TableGrid"/>
        <w:tblW w:w="9356" w:type="dxa"/>
        <w:tblInd w:w="250" w:type="dxa"/>
        <w:tblLook w:val="04A0" w:firstRow="1" w:lastRow="0" w:firstColumn="1" w:lastColumn="0" w:noHBand="0" w:noVBand="1"/>
      </w:tblPr>
      <w:tblGrid>
        <w:gridCol w:w="1471"/>
        <w:gridCol w:w="877"/>
        <w:gridCol w:w="876"/>
        <w:gridCol w:w="876"/>
        <w:gridCol w:w="876"/>
        <w:gridCol w:w="876"/>
        <w:gridCol w:w="876"/>
        <w:gridCol w:w="876"/>
        <w:gridCol w:w="876"/>
        <w:gridCol w:w="876"/>
      </w:tblGrid>
      <w:tr w:rsidR="00B41DFE" w:rsidRPr="001E16D5" w14:paraId="5FDF8566" w14:textId="77777777" w:rsidTr="00A52B68">
        <w:tc>
          <w:tcPr>
            <w:tcW w:w="1471" w:type="dxa"/>
            <w:vAlign w:val="center"/>
          </w:tcPr>
          <w:p w14:paraId="35C3268F" w14:textId="48F7285D" w:rsidR="00A95A97" w:rsidRPr="00A52B68" w:rsidRDefault="00A95A97" w:rsidP="00D25BE7">
            <w:pPr>
              <w:keepNext/>
              <w:keepLines/>
              <w:spacing w:before="40" w:after="40" w:line="276" w:lineRule="auto"/>
              <w:jc w:val="left"/>
              <w:rPr>
                <w:rFonts w:asciiTheme="minorHAnsi" w:hAnsiTheme="minorHAnsi"/>
                <w:b/>
                <w:sz w:val="18"/>
                <w:szCs w:val="18"/>
                <w:lang w:val="en-GB"/>
              </w:rPr>
            </w:pPr>
          </w:p>
        </w:tc>
        <w:tc>
          <w:tcPr>
            <w:tcW w:w="877" w:type="dxa"/>
            <w:vAlign w:val="center"/>
          </w:tcPr>
          <w:p w14:paraId="1AAAFD5D" w14:textId="782A941E" w:rsidR="00A95A97" w:rsidRPr="00A52B68" w:rsidRDefault="00A95A97" w:rsidP="00D25BE7">
            <w:pPr>
              <w:spacing w:before="40" w:after="40"/>
              <w:jc w:val="center"/>
              <w:rPr>
                <w:rFonts w:asciiTheme="minorHAnsi" w:hAnsiTheme="minorHAnsi" w:cs="Arial"/>
                <w:b/>
                <w:sz w:val="18"/>
                <w:szCs w:val="18"/>
                <w:lang w:val="en-GB"/>
              </w:rPr>
            </w:pPr>
            <w:r w:rsidRPr="00A52B68">
              <w:rPr>
                <w:rFonts w:asciiTheme="minorHAnsi" w:hAnsiTheme="minorHAnsi" w:cs="Arial"/>
                <w:b/>
                <w:sz w:val="18"/>
                <w:szCs w:val="18"/>
                <w:lang w:val="en-GB"/>
              </w:rPr>
              <w:t>2009</w:t>
            </w:r>
          </w:p>
        </w:tc>
        <w:tc>
          <w:tcPr>
            <w:tcW w:w="876" w:type="dxa"/>
            <w:vAlign w:val="center"/>
          </w:tcPr>
          <w:p w14:paraId="2CC6A237" w14:textId="14814B6C" w:rsidR="00A95A97" w:rsidRPr="00A52B68" w:rsidRDefault="00A95A97" w:rsidP="00D25BE7">
            <w:pPr>
              <w:spacing w:before="40" w:after="40"/>
              <w:jc w:val="center"/>
              <w:rPr>
                <w:rFonts w:asciiTheme="minorHAnsi" w:hAnsiTheme="minorHAnsi" w:cs="Arial"/>
                <w:b/>
                <w:sz w:val="18"/>
                <w:szCs w:val="18"/>
                <w:lang w:val="en-GB"/>
              </w:rPr>
            </w:pPr>
            <w:r w:rsidRPr="00A52B68">
              <w:rPr>
                <w:rFonts w:asciiTheme="minorHAnsi" w:hAnsiTheme="minorHAnsi" w:cs="Arial"/>
                <w:b/>
                <w:sz w:val="18"/>
                <w:szCs w:val="18"/>
                <w:lang w:val="en-GB"/>
              </w:rPr>
              <w:t>2010</w:t>
            </w:r>
          </w:p>
        </w:tc>
        <w:tc>
          <w:tcPr>
            <w:tcW w:w="876" w:type="dxa"/>
            <w:vAlign w:val="center"/>
          </w:tcPr>
          <w:p w14:paraId="5B49F21E" w14:textId="3F371FEA" w:rsidR="00A95A97" w:rsidRPr="00A52B68" w:rsidRDefault="00A95A97" w:rsidP="00D25BE7">
            <w:pPr>
              <w:spacing w:before="40" w:after="40"/>
              <w:jc w:val="center"/>
              <w:rPr>
                <w:rFonts w:asciiTheme="minorHAnsi" w:hAnsiTheme="minorHAnsi" w:cs="Arial"/>
                <w:b/>
                <w:sz w:val="18"/>
                <w:szCs w:val="18"/>
                <w:lang w:val="en-GB"/>
              </w:rPr>
            </w:pPr>
            <w:r w:rsidRPr="00A52B68">
              <w:rPr>
                <w:rFonts w:asciiTheme="minorHAnsi" w:hAnsiTheme="minorHAnsi" w:cs="Arial"/>
                <w:b/>
                <w:sz w:val="18"/>
                <w:szCs w:val="18"/>
                <w:lang w:val="en-GB"/>
              </w:rPr>
              <w:t>2011</w:t>
            </w:r>
          </w:p>
        </w:tc>
        <w:tc>
          <w:tcPr>
            <w:tcW w:w="876" w:type="dxa"/>
            <w:vAlign w:val="center"/>
          </w:tcPr>
          <w:p w14:paraId="3EDA5672" w14:textId="40D017E5" w:rsidR="00A95A97" w:rsidRPr="00A52B68" w:rsidRDefault="00A95A97" w:rsidP="00D25BE7">
            <w:pPr>
              <w:spacing w:before="40" w:after="40"/>
              <w:jc w:val="center"/>
              <w:rPr>
                <w:rFonts w:asciiTheme="minorHAnsi" w:hAnsiTheme="minorHAnsi" w:cs="Arial"/>
                <w:b/>
                <w:sz w:val="18"/>
                <w:szCs w:val="18"/>
                <w:lang w:val="en-GB"/>
              </w:rPr>
            </w:pPr>
            <w:r w:rsidRPr="00A52B68">
              <w:rPr>
                <w:rFonts w:asciiTheme="minorHAnsi" w:hAnsiTheme="minorHAnsi" w:cs="Arial"/>
                <w:b/>
                <w:sz w:val="18"/>
                <w:szCs w:val="18"/>
                <w:lang w:val="en-GB"/>
              </w:rPr>
              <w:t>2012</w:t>
            </w:r>
          </w:p>
        </w:tc>
        <w:tc>
          <w:tcPr>
            <w:tcW w:w="876" w:type="dxa"/>
            <w:vAlign w:val="center"/>
          </w:tcPr>
          <w:p w14:paraId="59331C51" w14:textId="0A317566" w:rsidR="00A95A97" w:rsidRPr="00A52B68" w:rsidRDefault="00A95A97" w:rsidP="00D25BE7">
            <w:pPr>
              <w:spacing w:before="40" w:after="40"/>
              <w:jc w:val="center"/>
              <w:rPr>
                <w:rFonts w:asciiTheme="minorHAnsi" w:hAnsiTheme="minorHAnsi" w:cs="Arial"/>
                <w:b/>
                <w:sz w:val="18"/>
                <w:szCs w:val="18"/>
                <w:lang w:val="en-GB"/>
              </w:rPr>
            </w:pPr>
            <w:r w:rsidRPr="00A52B68">
              <w:rPr>
                <w:rFonts w:asciiTheme="minorHAnsi" w:hAnsiTheme="minorHAnsi" w:cs="Arial"/>
                <w:b/>
                <w:sz w:val="18"/>
                <w:szCs w:val="18"/>
                <w:lang w:val="en-GB"/>
              </w:rPr>
              <w:t>2013</w:t>
            </w:r>
          </w:p>
        </w:tc>
        <w:tc>
          <w:tcPr>
            <w:tcW w:w="876" w:type="dxa"/>
            <w:vAlign w:val="center"/>
          </w:tcPr>
          <w:p w14:paraId="18D24584" w14:textId="26718F4A" w:rsidR="00A95A97" w:rsidRPr="00A52B68" w:rsidRDefault="00A95A97" w:rsidP="00D25BE7">
            <w:pPr>
              <w:spacing w:before="40" w:after="40"/>
              <w:jc w:val="center"/>
              <w:rPr>
                <w:rFonts w:asciiTheme="minorHAnsi" w:hAnsiTheme="minorHAnsi" w:cs="Arial"/>
                <w:b/>
                <w:sz w:val="18"/>
                <w:szCs w:val="18"/>
                <w:lang w:val="en-GB"/>
              </w:rPr>
            </w:pPr>
            <w:r w:rsidRPr="00A52B68">
              <w:rPr>
                <w:rFonts w:asciiTheme="minorHAnsi" w:hAnsiTheme="minorHAnsi" w:cs="Arial"/>
                <w:b/>
                <w:sz w:val="18"/>
                <w:szCs w:val="18"/>
                <w:lang w:val="en-GB"/>
              </w:rPr>
              <w:t>2014</w:t>
            </w:r>
          </w:p>
        </w:tc>
        <w:tc>
          <w:tcPr>
            <w:tcW w:w="876" w:type="dxa"/>
            <w:vAlign w:val="center"/>
          </w:tcPr>
          <w:p w14:paraId="55C1969E" w14:textId="6D92DD6D" w:rsidR="00A95A97" w:rsidRPr="00A52B68" w:rsidRDefault="00A95A97" w:rsidP="00D25BE7">
            <w:pPr>
              <w:spacing w:before="40" w:after="40"/>
              <w:jc w:val="center"/>
              <w:rPr>
                <w:rFonts w:asciiTheme="minorHAnsi" w:hAnsiTheme="minorHAnsi" w:cs="Arial"/>
                <w:b/>
                <w:sz w:val="18"/>
                <w:szCs w:val="18"/>
                <w:lang w:val="en-GB"/>
              </w:rPr>
            </w:pPr>
            <w:r w:rsidRPr="00A52B68">
              <w:rPr>
                <w:rFonts w:asciiTheme="minorHAnsi" w:hAnsiTheme="minorHAnsi" w:cs="Arial"/>
                <w:b/>
                <w:sz w:val="18"/>
                <w:szCs w:val="18"/>
                <w:lang w:val="en-GB"/>
              </w:rPr>
              <w:t>2015</w:t>
            </w:r>
          </w:p>
        </w:tc>
        <w:tc>
          <w:tcPr>
            <w:tcW w:w="876" w:type="dxa"/>
            <w:vAlign w:val="center"/>
          </w:tcPr>
          <w:p w14:paraId="7EBC180A" w14:textId="36458CBE" w:rsidR="00A95A97" w:rsidRPr="00A52B68" w:rsidRDefault="00A95A97" w:rsidP="00D25BE7">
            <w:pPr>
              <w:spacing w:before="40" w:after="40"/>
              <w:jc w:val="center"/>
              <w:rPr>
                <w:rFonts w:asciiTheme="minorHAnsi" w:hAnsiTheme="minorHAnsi" w:cs="Arial"/>
                <w:b/>
                <w:sz w:val="18"/>
                <w:szCs w:val="18"/>
                <w:lang w:val="en-GB"/>
              </w:rPr>
            </w:pPr>
            <w:r w:rsidRPr="00A52B68">
              <w:rPr>
                <w:rFonts w:asciiTheme="minorHAnsi" w:hAnsiTheme="minorHAnsi" w:cs="Arial"/>
                <w:b/>
                <w:sz w:val="18"/>
                <w:szCs w:val="18"/>
                <w:lang w:val="en-GB"/>
              </w:rPr>
              <w:t>2016</w:t>
            </w:r>
          </w:p>
        </w:tc>
        <w:tc>
          <w:tcPr>
            <w:tcW w:w="876" w:type="dxa"/>
            <w:vAlign w:val="center"/>
          </w:tcPr>
          <w:p w14:paraId="10F34660" w14:textId="25352F77" w:rsidR="00A95A97" w:rsidRPr="00A52B68" w:rsidRDefault="00A95A97" w:rsidP="00D25BE7">
            <w:pPr>
              <w:spacing w:before="40" w:after="40"/>
              <w:jc w:val="center"/>
              <w:rPr>
                <w:rFonts w:asciiTheme="minorHAnsi" w:hAnsiTheme="minorHAnsi" w:cs="Arial"/>
                <w:b/>
                <w:sz w:val="18"/>
                <w:szCs w:val="18"/>
                <w:lang w:val="en-GB"/>
              </w:rPr>
            </w:pPr>
            <w:r w:rsidRPr="00A52B68">
              <w:rPr>
                <w:rFonts w:asciiTheme="minorHAnsi" w:hAnsiTheme="minorHAnsi" w:cs="Arial"/>
                <w:b/>
                <w:sz w:val="18"/>
                <w:szCs w:val="18"/>
                <w:lang w:val="en-GB"/>
              </w:rPr>
              <w:t>2017</w:t>
            </w:r>
          </w:p>
        </w:tc>
      </w:tr>
      <w:tr w:rsidR="00B41DFE" w:rsidRPr="001E16D5" w14:paraId="7007F4CC" w14:textId="77777777" w:rsidTr="00A52B68">
        <w:tc>
          <w:tcPr>
            <w:tcW w:w="1471" w:type="dxa"/>
            <w:vAlign w:val="center"/>
          </w:tcPr>
          <w:p w14:paraId="1D0D808F" w14:textId="046AA4ED" w:rsidR="0045335C" w:rsidRPr="00A52B68" w:rsidRDefault="0045335C" w:rsidP="00D25BE7">
            <w:pPr>
              <w:spacing w:before="40" w:after="40"/>
              <w:jc w:val="left"/>
              <w:rPr>
                <w:rFonts w:asciiTheme="minorHAnsi" w:hAnsiTheme="minorHAnsi"/>
                <w:sz w:val="18"/>
                <w:szCs w:val="18"/>
                <w:lang w:val="en-GB"/>
              </w:rPr>
            </w:pPr>
            <w:r w:rsidRPr="00A52B68">
              <w:rPr>
                <w:rFonts w:asciiTheme="minorHAnsi" w:hAnsiTheme="minorHAnsi"/>
                <w:sz w:val="18"/>
                <w:szCs w:val="18"/>
                <w:lang w:val="en-GB"/>
              </w:rPr>
              <w:t xml:space="preserve">GDB </w:t>
            </w:r>
            <w:proofErr w:type="spellStart"/>
            <w:r w:rsidRPr="00A52B68">
              <w:rPr>
                <w:rFonts w:asciiTheme="minorHAnsi" w:hAnsiTheme="minorHAnsi"/>
                <w:sz w:val="18"/>
                <w:szCs w:val="18"/>
                <w:lang w:val="en-GB"/>
              </w:rPr>
              <w:t>Bln</w:t>
            </w:r>
            <w:proofErr w:type="spellEnd"/>
            <w:r w:rsidRPr="00A52B68">
              <w:rPr>
                <w:rFonts w:asciiTheme="minorHAnsi" w:hAnsiTheme="minorHAnsi"/>
                <w:sz w:val="18"/>
                <w:szCs w:val="18"/>
                <w:lang w:val="en-GB"/>
              </w:rPr>
              <w:t>$</w:t>
            </w:r>
          </w:p>
        </w:tc>
        <w:tc>
          <w:tcPr>
            <w:tcW w:w="877" w:type="dxa"/>
            <w:vAlign w:val="center"/>
          </w:tcPr>
          <w:p w14:paraId="2A09B402" w14:textId="5A0F9BC9" w:rsidR="0045335C" w:rsidRPr="00A52B68" w:rsidRDefault="0045335C" w:rsidP="00D25BE7">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1.77</w:t>
            </w:r>
          </w:p>
        </w:tc>
        <w:tc>
          <w:tcPr>
            <w:tcW w:w="876" w:type="dxa"/>
            <w:vAlign w:val="center"/>
          </w:tcPr>
          <w:p w14:paraId="514B8432" w14:textId="23D85A5E" w:rsidR="0045335C" w:rsidRPr="00A52B68" w:rsidRDefault="0045335C" w:rsidP="00D25BE7">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2.40</w:t>
            </w:r>
          </w:p>
        </w:tc>
        <w:tc>
          <w:tcPr>
            <w:tcW w:w="876" w:type="dxa"/>
            <w:vAlign w:val="center"/>
          </w:tcPr>
          <w:p w14:paraId="591B5957" w14:textId="3E0FA01D" w:rsidR="0045335C" w:rsidRPr="00A52B68" w:rsidRDefault="0045335C" w:rsidP="00D25BE7">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2.79</w:t>
            </w:r>
          </w:p>
        </w:tc>
        <w:tc>
          <w:tcPr>
            <w:tcW w:w="876" w:type="dxa"/>
            <w:vAlign w:val="center"/>
          </w:tcPr>
          <w:p w14:paraId="093F3D05" w14:textId="787E5BD0" w:rsidR="0045335C" w:rsidRPr="00A52B68" w:rsidRDefault="0045335C" w:rsidP="00D25BE7">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2.67</w:t>
            </w:r>
          </w:p>
        </w:tc>
        <w:tc>
          <w:tcPr>
            <w:tcW w:w="876" w:type="dxa"/>
            <w:vAlign w:val="center"/>
          </w:tcPr>
          <w:p w14:paraId="5A149732" w14:textId="22952E41" w:rsidR="0045335C" w:rsidRPr="00A52B68" w:rsidRDefault="0045335C" w:rsidP="00D25BE7">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2.53</w:t>
            </w:r>
          </w:p>
        </w:tc>
        <w:tc>
          <w:tcPr>
            <w:tcW w:w="876" w:type="dxa"/>
            <w:vAlign w:val="center"/>
          </w:tcPr>
          <w:p w14:paraId="62F943B6" w14:textId="501C3879" w:rsidR="0045335C" w:rsidRPr="00A52B68" w:rsidRDefault="0045335C" w:rsidP="00D25BE7">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2.61</w:t>
            </w:r>
          </w:p>
        </w:tc>
        <w:tc>
          <w:tcPr>
            <w:tcW w:w="876" w:type="dxa"/>
            <w:vAlign w:val="center"/>
          </w:tcPr>
          <w:p w14:paraId="0FA78233" w14:textId="65AF5106" w:rsidR="0045335C" w:rsidRPr="00A52B68" w:rsidRDefault="0045335C" w:rsidP="00D25BE7">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2.29</w:t>
            </w:r>
          </w:p>
        </w:tc>
        <w:tc>
          <w:tcPr>
            <w:tcW w:w="876" w:type="dxa"/>
            <w:vAlign w:val="center"/>
          </w:tcPr>
          <w:p w14:paraId="283A9347" w14:textId="11C42F92" w:rsidR="0045335C" w:rsidRPr="00A52B68" w:rsidRDefault="0045335C" w:rsidP="00D25BE7">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2.31</w:t>
            </w:r>
          </w:p>
        </w:tc>
        <w:tc>
          <w:tcPr>
            <w:tcW w:w="876" w:type="dxa"/>
            <w:vAlign w:val="center"/>
          </w:tcPr>
          <w:p w14:paraId="6A30DFD6" w14:textId="2E61A618" w:rsidR="0045335C" w:rsidRPr="00A52B68" w:rsidRDefault="0045335C" w:rsidP="00D25BE7">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2.57</w:t>
            </w:r>
          </w:p>
        </w:tc>
      </w:tr>
      <w:tr w:rsidR="00B41DFE" w:rsidRPr="001E16D5" w14:paraId="2A7B2067" w14:textId="77777777" w:rsidTr="00A52B68">
        <w:tc>
          <w:tcPr>
            <w:tcW w:w="1471" w:type="dxa"/>
            <w:vAlign w:val="center"/>
          </w:tcPr>
          <w:p w14:paraId="7C473110" w14:textId="0A3DC352" w:rsidR="00A95A97" w:rsidRPr="00A52B68" w:rsidRDefault="0045335C" w:rsidP="00D25BE7">
            <w:pPr>
              <w:spacing w:before="40" w:after="40"/>
              <w:jc w:val="left"/>
              <w:rPr>
                <w:rFonts w:asciiTheme="minorHAnsi" w:hAnsiTheme="minorHAnsi"/>
                <w:sz w:val="18"/>
                <w:szCs w:val="18"/>
                <w:lang w:val="en-GB"/>
              </w:rPr>
            </w:pPr>
            <w:r w:rsidRPr="00A52B68">
              <w:rPr>
                <w:rFonts w:asciiTheme="minorHAnsi" w:hAnsiTheme="minorHAnsi"/>
                <w:sz w:val="18"/>
                <w:szCs w:val="18"/>
                <w:lang w:val="en-GB"/>
              </w:rPr>
              <w:t>Revenue as %</w:t>
            </w:r>
            <w:r w:rsidR="00244ECB" w:rsidRPr="00A52B68">
              <w:rPr>
                <w:rFonts w:asciiTheme="minorHAnsi" w:hAnsiTheme="minorHAnsi"/>
                <w:sz w:val="18"/>
                <w:szCs w:val="18"/>
                <w:lang w:val="en-GB"/>
              </w:rPr>
              <w:t xml:space="preserve"> </w:t>
            </w:r>
            <w:r w:rsidRPr="00A52B68">
              <w:rPr>
                <w:rFonts w:asciiTheme="minorHAnsi" w:hAnsiTheme="minorHAnsi"/>
                <w:sz w:val="18"/>
                <w:szCs w:val="18"/>
                <w:lang w:val="en-GB"/>
              </w:rPr>
              <w:t xml:space="preserve">of GDP 100% SOEs </w:t>
            </w:r>
          </w:p>
        </w:tc>
        <w:tc>
          <w:tcPr>
            <w:tcW w:w="877" w:type="dxa"/>
            <w:vAlign w:val="center"/>
          </w:tcPr>
          <w:p w14:paraId="523235DC" w14:textId="5D09F131" w:rsidR="00A95A97" w:rsidRPr="00A52B68" w:rsidRDefault="0045335C" w:rsidP="00D25BE7">
            <w:pPr>
              <w:spacing w:before="40" w:after="40"/>
              <w:jc w:val="center"/>
              <w:rPr>
                <w:rFonts w:asciiTheme="minorHAnsi" w:hAnsiTheme="minorHAnsi" w:cs="Arial"/>
                <w:sz w:val="18"/>
                <w:szCs w:val="18"/>
                <w:lang w:val="en-GB"/>
              </w:rPr>
            </w:pPr>
            <w:r w:rsidRPr="00A52B68">
              <w:rPr>
                <w:rFonts w:asciiTheme="minorHAnsi" w:hAnsiTheme="minorHAnsi" w:cs="Arial"/>
                <w:sz w:val="18"/>
                <w:szCs w:val="18"/>
                <w:lang w:val="en-GB"/>
              </w:rPr>
              <w:t>4.51</w:t>
            </w:r>
          </w:p>
        </w:tc>
        <w:tc>
          <w:tcPr>
            <w:tcW w:w="876" w:type="dxa"/>
            <w:vAlign w:val="center"/>
          </w:tcPr>
          <w:p w14:paraId="6B492D48" w14:textId="6176D6C4" w:rsidR="00A95A97" w:rsidRPr="00A52B68" w:rsidRDefault="0045335C" w:rsidP="00D25BE7">
            <w:pPr>
              <w:spacing w:before="40" w:after="40"/>
              <w:jc w:val="center"/>
              <w:rPr>
                <w:rFonts w:asciiTheme="minorHAnsi" w:hAnsiTheme="minorHAnsi" w:cs="Arial"/>
                <w:sz w:val="18"/>
                <w:szCs w:val="18"/>
                <w:lang w:val="en-GB"/>
              </w:rPr>
            </w:pPr>
            <w:r w:rsidRPr="00A52B68">
              <w:rPr>
                <w:rFonts w:asciiTheme="minorHAnsi" w:hAnsiTheme="minorHAnsi" w:cs="Arial"/>
                <w:sz w:val="18"/>
                <w:szCs w:val="18"/>
                <w:lang w:val="en-GB"/>
              </w:rPr>
              <w:t>4.09</w:t>
            </w:r>
          </w:p>
        </w:tc>
        <w:tc>
          <w:tcPr>
            <w:tcW w:w="876" w:type="dxa"/>
            <w:vAlign w:val="center"/>
          </w:tcPr>
          <w:p w14:paraId="715B26BA" w14:textId="271A019C" w:rsidR="00A95A97" w:rsidRPr="00A52B68" w:rsidRDefault="0045335C" w:rsidP="00D25BE7">
            <w:pPr>
              <w:spacing w:before="40" w:after="40"/>
              <w:jc w:val="center"/>
              <w:rPr>
                <w:rFonts w:asciiTheme="minorHAnsi" w:hAnsiTheme="minorHAnsi" w:cs="Arial"/>
                <w:sz w:val="18"/>
                <w:szCs w:val="18"/>
                <w:lang w:val="en-GB"/>
              </w:rPr>
            </w:pPr>
            <w:r w:rsidRPr="00A52B68">
              <w:rPr>
                <w:rFonts w:asciiTheme="minorHAnsi" w:hAnsiTheme="minorHAnsi" w:cs="Arial"/>
                <w:sz w:val="18"/>
                <w:szCs w:val="18"/>
                <w:lang w:val="en-GB"/>
              </w:rPr>
              <w:t>3.44</w:t>
            </w:r>
          </w:p>
        </w:tc>
        <w:tc>
          <w:tcPr>
            <w:tcW w:w="876" w:type="dxa"/>
            <w:vAlign w:val="center"/>
          </w:tcPr>
          <w:p w14:paraId="50E9AC46" w14:textId="2BBC806F" w:rsidR="00A95A97" w:rsidRPr="00A52B68" w:rsidRDefault="0045335C" w:rsidP="00D25BE7">
            <w:pPr>
              <w:spacing w:before="40" w:after="40"/>
              <w:jc w:val="center"/>
              <w:rPr>
                <w:rFonts w:asciiTheme="minorHAnsi" w:hAnsiTheme="minorHAnsi" w:cs="Arial"/>
                <w:sz w:val="18"/>
                <w:szCs w:val="18"/>
                <w:lang w:val="en-GB"/>
              </w:rPr>
            </w:pPr>
            <w:r w:rsidRPr="00A52B68">
              <w:rPr>
                <w:rFonts w:asciiTheme="minorHAnsi" w:hAnsiTheme="minorHAnsi" w:cs="Arial"/>
                <w:sz w:val="18"/>
                <w:szCs w:val="18"/>
                <w:lang w:val="en-GB"/>
              </w:rPr>
              <w:t>3.86</w:t>
            </w:r>
          </w:p>
        </w:tc>
        <w:tc>
          <w:tcPr>
            <w:tcW w:w="876" w:type="dxa"/>
            <w:vAlign w:val="center"/>
          </w:tcPr>
          <w:p w14:paraId="2F82D944" w14:textId="7997F617" w:rsidR="00A95A97" w:rsidRPr="00A52B68" w:rsidRDefault="0045335C" w:rsidP="00D25BE7">
            <w:pPr>
              <w:spacing w:before="40" w:after="40"/>
              <w:jc w:val="center"/>
              <w:rPr>
                <w:rFonts w:asciiTheme="minorHAnsi" w:hAnsiTheme="minorHAnsi" w:cs="Arial"/>
                <w:sz w:val="18"/>
                <w:szCs w:val="18"/>
                <w:lang w:val="en-GB"/>
              </w:rPr>
            </w:pPr>
            <w:r w:rsidRPr="00A52B68">
              <w:rPr>
                <w:rFonts w:asciiTheme="minorHAnsi" w:hAnsiTheme="minorHAnsi" w:cs="Arial"/>
                <w:sz w:val="18"/>
                <w:szCs w:val="18"/>
                <w:lang w:val="en-GB"/>
              </w:rPr>
              <w:t>3.71</w:t>
            </w:r>
          </w:p>
        </w:tc>
        <w:tc>
          <w:tcPr>
            <w:tcW w:w="876" w:type="dxa"/>
            <w:vAlign w:val="center"/>
          </w:tcPr>
          <w:p w14:paraId="49D5C564" w14:textId="7755E6D4" w:rsidR="00A95A97" w:rsidRPr="00A52B68" w:rsidRDefault="00C81462" w:rsidP="00D25BE7">
            <w:pPr>
              <w:spacing w:before="40" w:after="40"/>
              <w:jc w:val="center"/>
              <w:rPr>
                <w:rFonts w:asciiTheme="minorHAnsi" w:hAnsiTheme="minorHAnsi" w:cs="Arial"/>
                <w:sz w:val="18"/>
                <w:szCs w:val="18"/>
                <w:lang w:val="en-GB"/>
              </w:rPr>
            </w:pPr>
            <w:r w:rsidRPr="00A52B68">
              <w:rPr>
                <w:rFonts w:asciiTheme="minorHAnsi" w:hAnsiTheme="minorHAnsi" w:cs="Arial"/>
                <w:sz w:val="18"/>
                <w:szCs w:val="18"/>
                <w:lang w:val="en-GB"/>
              </w:rPr>
              <w:t>3.</w:t>
            </w:r>
            <w:r w:rsidR="005F1378">
              <w:rPr>
                <w:rFonts w:asciiTheme="minorHAnsi" w:hAnsiTheme="minorHAnsi" w:cs="Arial"/>
                <w:sz w:val="18"/>
                <w:szCs w:val="18"/>
                <w:lang w:val="en-GB"/>
              </w:rPr>
              <w:t>83</w:t>
            </w:r>
          </w:p>
        </w:tc>
        <w:tc>
          <w:tcPr>
            <w:tcW w:w="876" w:type="dxa"/>
            <w:vAlign w:val="center"/>
          </w:tcPr>
          <w:p w14:paraId="2902764E" w14:textId="35855BFC" w:rsidR="00A95A97" w:rsidRPr="00A52B68" w:rsidRDefault="005F1378" w:rsidP="00D25BE7">
            <w:pPr>
              <w:spacing w:before="40" w:after="40"/>
              <w:jc w:val="center"/>
              <w:rPr>
                <w:rFonts w:asciiTheme="minorHAnsi" w:hAnsiTheme="minorHAnsi" w:cs="Arial"/>
                <w:sz w:val="18"/>
                <w:szCs w:val="18"/>
                <w:lang w:val="en-GB"/>
              </w:rPr>
            </w:pPr>
            <w:r>
              <w:rPr>
                <w:rFonts w:asciiTheme="minorHAnsi" w:hAnsiTheme="minorHAnsi" w:cs="Arial"/>
                <w:sz w:val="18"/>
                <w:szCs w:val="18"/>
                <w:lang w:val="en-GB"/>
              </w:rPr>
              <w:t>6.11</w:t>
            </w:r>
          </w:p>
        </w:tc>
        <w:tc>
          <w:tcPr>
            <w:tcW w:w="876" w:type="dxa"/>
            <w:vAlign w:val="center"/>
          </w:tcPr>
          <w:p w14:paraId="5E81542B" w14:textId="5826ADE2" w:rsidR="00A95A97" w:rsidRPr="00A52B68" w:rsidRDefault="00C81462" w:rsidP="00D25BE7">
            <w:pPr>
              <w:spacing w:before="40" w:after="40"/>
              <w:jc w:val="center"/>
              <w:rPr>
                <w:rFonts w:asciiTheme="minorHAnsi" w:hAnsiTheme="minorHAnsi" w:cs="Arial"/>
                <w:sz w:val="18"/>
                <w:szCs w:val="18"/>
                <w:lang w:val="en-GB"/>
              </w:rPr>
            </w:pPr>
            <w:r w:rsidRPr="00A52B68">
              <w:rPr>
                <w:rFonts w:asciiTheme="minorHAnsi" w:hAnsiTheme="minorHAnsi" w:cs="Arial"/>
                <w:sz w:val="18"/>
                <w:szCs w:val="18"/>
                <w:lang w:val="en-GB"/>
              </w:rPr>
              <w:t>4.</w:t>
            </w:r>
            <w:r w:rsidR="005F1378">
              <w:rPr>
                <w:rFonts w:asciiTheme="minorHAnsi" w:hAnsiTheme="minorHAnsi" w:cs="Arial"/>
                <w:sz w:val="18"/>
                <w:szCs w:val="18"/>
                <w:lang w:val="en-GB"/>
              </w:rPr>
              <w:t>45</w:t>
            </w:r>
          </w:p>
        </w:tc>
        <w:tc>
          <w:tcPr>
            <w:tcW w:w="876" w:type="dxa"/>
            <w:vAlign w:val="center"/>
          </w:tcPr>
          <w:p w14:paraId="2286DA8D" w14:textId="5EE9A10C" w:rsidR="00A95A97" w:rsidRPr="00A52B68" w:rsidRDefault="00C81462" w:rsidP="00D25BE7">
            <w:pPr>
              <w:spacing w:before="40" w:after="40"/>
              <w:jc w:val="center"/>
              <w:rPr>
                <w:rFonts w:asciiTheme="minorHAnsi" w:hAnsiTheme="minorHAnsi" w:cs="Arial"/>
                <w:sz w:val="18"/>
                <w:szCs w:val="18"/>
                <w:lang w:val="en-GB"/>
              </w:rPr>
            </w:pPr>
            <w:r w:rsidRPr="00A52B68">
              <w:rPr>
                <w:rFonts w:asciiTheme="minorHAnsi" w:hAnsiTheme="minorHAnsi" w:cs="Arial"/>
                <w:sz w:val="18"/>
                <w:szCs w:val="18"/>
                <w:lang w:val="en-GB"/>
              </w:rPr>
              <w:t>4.</w:t>
            </w:r>
            <w:r w:rsidR="005F1378">
              <w:rPr>
                <w:rFonts w:asciiTheme="minorHAnsi" w:hAnsiTheme="minorHAnsi" w:cs="Arial"/>
                <w:sz w:val="18"/>
                <w:szCs w:val="18"/>
                <w:lang w:val="en-GB"/>
              </w:rPr>
              <w:t>56</w:t>
            </w:r>
          </w:p>
        </w:tc>
      </w:tr>
    </w:tbl>
    <w:p w14:paraId="598A00BD" w14:textId="77777777" w:rsidR="003C3628" w:rsidRDefault="003C3628" w:rsidP="00D25BE7">
      <w:pPr>
        <w:rPr>
          <w:rFonts w:asciiTheme="minorHAnsi" w:hAnsiTheme="minorHAnsi"/>
          <w:lang w:val="en-GB"/>
        </w:rPr>
      </w:pPr>
    </w:p>
    <w:p w14:paraId="17EE571C" w14:textId="2FA23CD5" w:rsidR="00884BD7" w:rsidRPr="00A52B68" w:rsidRDefault="00884BD7" w:rsidP="007A0F4A">
      <w:pPr>
        <w:ind w:firstLine="426"/>
        <w:rPr>
          <w:rFonts w:asciiTheme="minorHAnsi" w:hAnsiTheme="minorHAnsi"/>
          <w:i/>
          <w:sz w:val="20"/>
          <w:lang w:val="en-GB"/>
        </w:rPr>
      </w:pPr>
      <w:r w:rsidRPr="00A52B68">
        <w:rPr>
          <w:rFonts w:asciiTheme="minorHAnsi" w:hAnsiTheme="minorHAnsi"/>
          <w:i/>
          <w:sz w:val="20"/>
          <w:lang w:val="en-GB"/>
        </w:rPr>
        <w:t>Source: GDP – World Bank; Revenue – SOE AFS Various Years</w:t>
      </w:r>
    </w:p>
    <w:p w14:paraId="0DD38AAA" w14:textId="77777777" w:rsidR="003C3628" w:rsidRPr="00D25BE7" w:rsidRDefault="003C3628" w:rsidP="00D25BE7">
      <w:pPr>
        <w:rPr>
          <w:rFonts w:asciiTheme="minorHAnsi" w:hAnsiTheme="minorHAnsi"/>
          <w:lang w:val="en-GB"/>
        </w:rPr>
      </w:pPr>
    </w:p>
    <w:p w14:paraId="0946F82F" w14:textId="02ABC9E4" w:rsidR="00794B72" w:rsidRPr="00A11CEC" w:rsidRDefault="00794B72" w:rsidP="000B6E53">
      <w:pPr>
        <w:pStyle w:val="ListParagraph"/>
        <w:ind w:left="426" w:hanging="426"/>
        <w:rPr>
          <w:rFonts w:asciiTheme="minorHAnsi" w:hAnsiTheme="minorHAnsi"/>
          <w:b/>
          <w:sz w:val="20"/>
          <w:lang w:val="en-GB"/>
        </w:rPr>
      </w:pPr>
      <w:r w:rsidRPr="00A11CEC">
        <w:rPr>
          <w:rFonts w:asciiTheme="minorHAnsi" w:hAnsiTheme="minorHAnsi"/>
          <w:b/>
          <w:sz w:val="20"/>
          <w:lang w:val="en-GB"/>
        </w:rPr>
        <w:t>Figure 5. Assets v Equity</w:t>
      </w:r>
    </w:p>
    <w:p w14:paraId="0D60B7FD" w14:textId="43D4436B" w:rsidR="00E22B88" w:rsidRPr="00D25BE7" w:rsidRDefault="00485B74" w:rsidP="00A11CEC">
      <w:pPr>
        <w:pStyle w:val="ListParagraph"/>
        <w:numPr>
          <w:ilvl w:val="0"/>
          <w:numId w:val="0"/>
        </w:numPr>
        <w:ind w:left="426"/>
        <w:rPr>
          <w:rFonts w:asciiTheme="minorHAnsi" w:hAnsiTheme="minorHAnsi"/>
          <w:lang w:val="en-GB"/>
        </w:rPr>
      </w:pPr>
      <w:r>
        <w:rPr>
          <w:noProof/>
        </w:rPr>
        <w:drawing>
          <wp:inline distT="0" distB="0" distL="0" distR="0" wp14:anchorId="42E5ABF2" wp14:editId="4215BEE0">
            <wp:extent cx="4845685" cy="2954020"/>
            <wp:effectExtent l="25400" t="25400" r="107315" b="9398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0D002DB" w14:textId="27477382" w:rsidR="00A669C5" w:rsidRPr="00D8583C" w:rsidRDefault="00A669C5" w:rsidP="00A52B68">
      <w:pPr>
        <w:ind w:firstLine="426"/>
        <w:rPr>
          <w:rFonts w:asciiTheme="minorHAnsi" w:hAnsiTheme="minorHAnsi"/>
          <w:i/>
          <w:sz w:val="20"/>
          <w:lang w:val="en-GB"/>
        </w:rPr>
      </w:pPr>
      <w:r w:rsidRPr="00D8583C">
        <w:rPr>
          <w:rFonts w:asciiTheme="minorHAnsi" w:hAnsiTheme="minorHAnsi"/>
          <w:i/>
          <w:sz w:val="20"/>
          <w:lang w:val="en-GB"/>
        </w:rPr>
        <w:t>Source: SOE AFS Various Years</w:t>
      </w:r>
    </w:p>
    <w:p w14:paraId="75EAD543" w14:textId="70803111" w:rsidR="00D9270B" w:rsidRDefault="00D9270B" w:rsidP="00A52B68">
      <w:pPr>
        <w:rPr>
          <w:rFonts w:asciiTheme="minorHAnsi" w:hAnsiTheme="minorHAnsi"/>
          <w:lang w:val="en-GB"/>
        </w:rPr>
      </w:pPr>
    </w:p>
    <w:p w14:paraId="7D6402E5" w14:textId="77777777" w:rsidR="00A669C5" w:rsidRPr="00A11CEC" w:rsidRDefault="00A669C5" w:rsidP="00A11CEC">
      <w:pPr>
        <w:ind w:left="928" w:hanging="360"/>
        <w:rPr>
          <w:rFonts w:asciiTheme="minorHAnsi" w:hAnsiTheme="minorHAnsi"/>
          <w:lang w:val="en-GB"/>
        </w:rPr>
      </w:pPr>
    </w:p>
    <w:p w14:paraId="22E45C2C" w14:textId="3AAA6896" w:rsidR="009A4F70" w:rsidRPr="00D25BE7" w:rsidRDefault="002E791A" w:rsidP="009A4F70">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 xml:space="preserve">Individual performances are assessed in the section </w:t>
      </w:r>
      <w:r w:rsidR="00BB5643" w:rsidRPr="00D25BE7">
        <w:rPr>
          <w:rFonts w:asciiTheme="minorHAnsi" w:hAnsiTheme="minorHAnsi"/>
          <w:color w:val="000000" w:themeColor="text1"/>
          <w:lang w:val="en-GB"/>
        </w:rPr>
        <w:t>X,</w:t>
      </w:r>
      <w:r w:rsidRPr="00D25BE7">
        <w:rPr>
          <w:rFonts w:asciiTheme="minorHAnsi" w:hAnsiTheme="minorHAnsi"/>
          <w:color w:val="000000" w:themeColor="text1"/>
          <w:lang w:val="en-GB"/>
        </w:rPr>
        <w:t xml:space="preserve"> but it is clear that LEC is a key driver of the performance among 100% Government-owned enterprises.</w:t>
      </w:r>
      <w:r w:rsidR="009C0030" w:rsidRPr="00D25BE7">
        <w:rPr>
          <w:rFonts w:asciiTheme="minorHAnsi" w:hAnsiTheme="minorHAnsi"/>
          <w:color w:val="000000" w:themeColor="text1"/>
          <w:lang w:val="en-GB"/>
        </w:rPr>
        <w:t xml:space="preserve"> Lesotho </w:t>
      </w:r>
      <w:proofErr w:type="spellStart"/>
      <w:r w:rsidR="009C0030" w:rsidRPr="00D25BE7">
        <w:rPr>
          <w:rFonts w:asciiTheme="minorHAnsi" w:hAnsiTheme="minorHAnsi"/>
          <w:color w:val="000000" w:themeColor="text1"/>
          <w:lang w:val="en-GB"/>
        </w:rPr>
        <w:t>PostBank</w:t>
      </w:r>
      <w:proofErr w:type="spellEnd"/>
      <w:r w:rsidR="009C0030" w:rsidRPr="00D25BE7">
        <w:rPr>
          <w:rFonts w:asciiTheme="minorHAnsi" w:hAnsiTheme="minorHAnsi"/>
          <w:color w:val="000000" w:themeColor="text1"/>
          <w:lang w:val="en-GB"/>
        </w:rPr>
        <w:t xml:space="preserve"> (LPB)</w:t>
      </w:r>
      <w:r w:rsidR="000F4D7F" w:rsidRPr="00D25BE7">
        <w:rPr>
          <w:rFonts w:asciiTheme="minorHAnsi" w:hAnsiTheme="minorHAnsi"/>
          <w:color w:val="000000" w:themeColor="text1"/>
          <w:lang w:val="en-GB"/>
        </w:rPr>
        <w:t xml:space="preserve"> has </w:t>
      </w:r>
      <w:r w:rsidR="00D23B01" w:rsidRPr="00D25BE7">
        <w:rPr>
          <w:rFonts w:asciiTheme="minorHAnsi" w:hAnsiTheme="minorHAnsi"/>
          <w:color w:val="000000" w:themeColor="text1"/>
          <w:lang w:val="en-GB"/>
        </w:rPr>
        <w:t>performed relatively well in FY’1</w:t>
      </w:r>
      <w:r w:rsidR="00794B72">
        <w:rPr>
          <w:rFonts w:asciiTheme="minorHAnsi" w:hAnsiTheme="minorHAnsi"/>
          <w:color w:val="000000" w:themeColor="text1"/>
          <w:lang w:val="en-GB"/>
        </w:rPr>
        <w:t>8</w:t>
      </w:r>
      <w:r w:rsidR="00D23B01" w:rsidRPr="00D25BE7">
        <w:rPr>
          <w:rFonts w:asciiTheme="minorHAnsi" w:hAnsiTheme="minorHAnsi"/>
          <w:color w:val="000000" w:themeColor="text1"/>
          <w:lang w:val="en-GB"/>
        </w:rPr>
        <w:t xml:space="preserve"> and established a trend of profitability</w:t>
      </w:r>
      <w:r w:rsidR="000F4D7F" w:rsidRPr="00D25BE7">
        <w:rPr>
          <w:rFonts w:asciiTheme="minorHAnsi" w:hAnsiTheme="minorHAnsi"/>
          <w:color w:val="000000" w:themeColor="text1"/>
          <w:lang w:val="en-GB"/>
        </w:rPr>
        <w:t xml:space="preserve"> after several years of losses and LNDC has profited from the dividends and returns received from its investments and property rentals</w:t>
      </w:r>
      <w:r w:rsidR="00BB5643" w:rsidRPr="00D25BE7">
        <w:rPr>
          <w:rFonts w:asciiTheme="minorHAnsi" w:hAnsiTheme="minorHAnsi"/>
          <w:color w:val="000000" w:themeColor="text1"/>
          <w:lang w:val="en-GB"/>
        </w:rPr>
        <w:t>.</w:t>
      </w:r>
    </w:p>
    <w:p w14:paraId="4D04659F" w14:textId="5486EE28" w:rsidR="001C121F" w:rsidRPr="00D25BE7" w:rsidRDefault="001C121F" w:rsidP="00B31B35">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These SOEs do not distribute dividends and draw significantly on capital grants</w:t>
      </w:r>
      <w:r w:rsidR="00FE4BB0" w:rsidRPr="00D25BE7">
        <w:rPr>
          <w:rFonts w:asciiTheme="minorHAnsi" w:hAnsiTheme="minorHAnsi"/>
          <w:color w:val="000000" w:themeColor="text1"/>
          <w:lang w:val="en-GB"/>
        </w:rPr>
        <w:t xml:space="preserve"> or sub</w:t>
      </w:r>
      <w:r w:rsidR="009E29CE" w:rsidRPr="00D25BE7">
        <w:rPr>
          <w:rFonts w:asciiTheme="minorHAnsi" w:hAnsiTheme="minorHAnsi"/>
          <w:color w:val="000000" w:themeColor="text1"/>
          <w:lang w:val="en-GB"/>
        </w:rPr>
        <w:t>vention</w:t>
      </w:r>
      <w:r w:rsidRPr="00D25BE7">
        <w:rPr>
          <w:rFonts w:asciiTheme="minorHAnsi" w:hAnsiTheme="minorHAnsi"/>
          <w:color w:val="000000" w:themeColor="text1"/>
          <w:lang w:val="en-GB"/>
        </w:rPr>
        <w:t>. Nonetheless, FY’1</w:t>
      </w:r>
      <w:r w:rsidR="005C7E01">
        <w:rPr>
          <w:rFonts w:asciiTheme="minorHAnsi" w:hAnsiTheme="minorHAnsi"/>
          <w:color w:val="000000" w:themeColor="text1"/>
          <w:lang w:val="en-GB"/>
        </w:rPr>
        <w:t>8</w:t>
      </w:r>
      <w:r w:rsidRPr="00D25BE7">
        <w:rPr>
          <w:rFonts w:asciiTheme="minorHAnsi" w:hAnsiTheme="minorHAnsi"/>
          <w:color w:val="000000" w:themeColor="text1"/>
          <w:lang w:val="en-GB"/>
        </w:rPr>
        <w:t xml:space="preserve"> is the best overall performance </w:t>
      </w:r>
      <w:r w:rsidR="005434EC" w:rsidRPr="00D25BE7">
        <w:rPr>
          <w:rFonts w:asciiTheme="minorHAnsi" w:hAnsiTheme="minorHAnsi"/>
          <w:color w:val="000000" w:themeColor="text1"/>
          <w:lang w:val="en-GB"/>
        </w:rPr>
        <w:t xml:space="preserve">in recent years </w:t>
      </w:r>
      <w:r w:rsidRPr="00D25BE7">
        <w:rPr>
          <w:rFonts w:asciiTheme="minorHAnsi" w:hAnsiTheme="minorHAnsi"/>
          <w:color w:val="000000" w:themeColor="text1"/>
          <w:lang w:val="en-GB"/>
        </w:rPr>
        <w:t xml:space="preserve">for these enterprises across the range of KPI’s, including highest revenues, profits, total assets and returns. </w:t>
      </w:r>
    </w:p>
    <w:p w14:paraId="0F834D48" w14:textId="060C5149" w:rsidR="005C7E01" w:rsidRPr="00A52B68" w:rsidRDefault="001D4F86" w:rsidP="00A52B68">
      <w:pPr>
        <w:pStyle w:val="ListParagraph"/>
        <w:ind w:left="426" w:hanging="426"/>
        <w:rPr>
          <w:rFonts w:asciiTheme="minorHAnsi" w:hAnsiTheme="minorHAnsi"/>
          <w:b/>
          <w:sz w:val="20"/>
          <w:lang w:val="en-GB"/>
        </w:rPr>
      </w:pPr>
      <w:r w:rsidRPr="00D25BE7">
        <w:rPr>
          <w:rFonts w:asciiTheme="minorHAnsi" w:hAnsiTheme="minorHAnsi"/>
          <w:color w:val="000000" w:themeColor="text1"/>
          <w:lang w:val="en-GB"/>
        </w:rPr>
        <w:t>Relevant performance data is</w:t>
      </w:r>
      <w:r w:rsidR="005C7E01">
        <w:rPr>
          <w:rFonts w:asciiTheme="minorHAnsi" w:hAnsiTheme="minorHAnsi"/>
          <w:color w:val="000000" w:themeColor="text1"/>
          <w:lang w:val="en-GB"/>
        </w:rPr>
        <w:t xml:space="preserve"> shown in Table 3</w:t>
      </w:r>
    </w:p>
    <w:p w14:paraId="245611CC" w14:textId="4C25D31D" w:rsidR="007134F5" w:rsidRPr="00A11CEC" w:rsidRDefault="007134F5" w:rsidP="007134F5">
      <w:pPr>
        <w:ind w:firstLine="425"/>
        <w:rPr>
          <w:rFonts w:asciiTheme="minorHAnsi" w:hAnsiTheme="minorHAnsi"/>
          <w:b/>
          <w:sz w:val="20"/>
          <w:lang w:val="en-GB"/>
        </w:rPr>
      </w:pPr>
      <w:r w:rsidRPr="00A11CEC">
        <w:rPr>
          <w:rFonts w:asciiTheme="minorHAnsi" w:hAnsiTheme="minorHAnsi"/>
          <w:b/>
          <w:sz w:val="20"/>
          <w:lang w:val="en-GB"/>
        </w:rPr>
        <w:t xml:space="preserve">Table </w:t>
      </w:r>
      <w:r w:rsidR="005C7E01" w:rsidRPr="00A11CEC">
        <w:rPr>
          <w:rFonts w:asciiTheme="minorHAnsi" w:hAnsiTheme="minorHAnsi"/>
          <w:b/>
          <w:sz w:val="20"/>
          <w:lang w:val="en-GB"/>
        </w:rPr>
        <w:t>3</w:t>
      </w:r>
      <w:r w:rsidRPr="00A11CEC">
        <w:rPr>
          <w:rFonts w:asciiTheme="minorHAnsi" w:hAnsiTheme="minorHAnsi"/>
          <w:b/>
          <w:sz w:val="20"/>
          <w:lang w:val="en-GB"/>
        </w:rPr>
        <w:t xml:space="preserve">: Performance Highlights – Government 100% ownership </w:t>
      </w:r>
    </w:p>
    <w:p w14:paraId="13224246" w14:textId="77777777" w:rsidR="00344282" w:rsidRPr="00D25BE7" w:rsidRDefault="00344282" w:rsidP="007134F5">
      <w:pPr>
        <w:ind w:firstLine="425"/>
        <w:rPr>
          <w:rFonts w:asciiTheme="minorHAnsi" w:hAnsiTheme="minorHAnsi"/>
          <w:sz w:val="20"/>
          <w:lang w:val="en-GB"/>
        </w:rPr>
      </w:pPr>
    </w:p>
    <w:tbl>
      <w:tblPr>
        <w:tblW w:w="7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1405"/>
        <w:gridCol w:w="1405"/>
        <w:gridCol w:w="1404"/>
        <w:gridCol w:w="1405"/>
      </w:tblGrid>
      <w:tr w:rsidR="00552363" w:rsidRPr="00B50EE0" w14:paraId="30B709BC" w14:textId="77777777" w:rsidTr="00A52B68">
        <w:trPr>
          <w:trHeight w:val="360"/>
          <w:tblHeader/>
          <w:jc w:val="center"/>
        </w:trPr>
        <w:tc>
          <w:tcPr>
            <w:tcW w:w="2126" w:type="dxa"/>
            <w:shd w:val="clear" w:color="auto" w:fill="D9D9D9" w:themeFill="background1" w:themeFillShade="D9"/>
            <w:noWrap/>
            <w:vAlign w:val="center"/>
            <w:hideMark/>
          </w:tcPr>
          <w:p w14:paraId="320A6E72" w14:textId="77777777" w:rsidR="00552363" w:rsidRPr="00A52B68" w:rsidRDefault="00552363" w:rsidP="002D1880">
            <w:pPr>
              <w:ind w:firstLine="42"/>
              <w:rPr>
                <w:rFonts w:asciiTheme="minorHAnsi" w:hAnsiTheme="minorHAnsi"/>
                <w:sz w:val="18"/>
                <w:szCs w:val="18"/>
                <w:lang w:eastAsia="en-GB"/>
              </w:rPr>
            </w:pPr>
            <w:r w:rsidRPr="00A52B68">
              <w:rPr>
                <w:rFonts w:asciiTheme="minorHAnsi" w:hAnsiTheme="minorHAnsi"/>
                <w:sz w:val="18"/>
                <w:szCs w:val="18"/>
                <w:lang w:eastAsia="en-GB"/>
              </w:rPr>
              <w:t xml:space="preserve">Performance Highlights </w:t>
            </w:r>
          </w:p>
          <w:p w14:paraId="7600F153" w14:textId="553BE122" w:rsidR="00552363" w:rsidRPr="00A52B68" w:rsidRDefault="00552363" w:rsidP="002D1880">
            <w:pPr>
              <w:ind w:firstLine="42"/>
              <w:rPr>
                <w:rFonts w:asciiTheme="minorHAnsi" w:hAnsiTheme="minorHAnsi"/>
                <w:sz w:val="18"/>
                <w:szCs w:val="18"/>
                <w:lang w:eastAsia="en-GB"/>
              </w:rPr>
            </w:pPr>
            <w:r w:rsidRPr="00A52B68">
              <w:rPr>
                <w:rFonts w:asciiTheme="minorHAnsi" w:hAnsiTheme="minorHAnsi"/>
                <w:sz w:val="18"/>
                <w:szCs w:val="18"/>
                <w:lang w:eastAsia="en-GB"/>
              </w:rPr>
              <w:t>(M '000)</w:t>
            </w:r>
          </w:p>
        </w:tc>
        <w:tc>
          <w:tcPr>
            <w:tcW w:w="1258" w:type="dxa"/>
            <w:shd w:val="clear" w:color="auto" w:fill="D9D9D9" w:themeFill="background1" w:themeFillShade="D9"/>
            <w:vAlign w:val="center"/>
          </w:tcPr>
          <w:p w14:paraId="53C723C9" w14:textId="5AEA6DAB" w:rsidR="00552363" w:rsidRPr="00A52B68" w:rsidRDefault="00552363" w:rsidP="002D1880">
            <w:pPr>
              <w:jc w:val="center"/>
              <w:rPr>
                <w:rFonts w:asciiTheme="minorHAnsi" w:hAnsiTheme="minorHAnsi" w:cstheme="minorHAnsi"/>
                <w:b/>
                <w:bCs/>
                <w:sz w:val="18"/>
                <w:szCs w:val="18"/>
                <w:lang w:eastAsia="en-GB"/>
              </w:rPr>
            </w:pPr>
            <w:r w:rsidRPr="00A52B68">
              <w:rPr>
                <w:rFonts w:asciiTheme="minorHAnsi" w:hAnsiTheme="minorHAnsi" w:cstheme="minorHAnsi"/>
                <w:b/>
                <w:bCs/>
                <w:sz w:val="18"/>
                <w:szCs w:val="18"/>
                <w:lang w:eastAsia="en-GB"/>
              </w:rPr>
              <w:t>2014/15</w:t>
            </w:r>
          </w:p>
        </w:tc>
        <w:tc>
          <w:tcPr>
            <w:tcW w:w="1259" w:type="dxa"/>
            <w:shd w:val="clear" w:color="auto" w:fill="D9D9D9" w:themeFill="background1" w:themeFillShade="D9"/>
            <w:vAlign w:val="center"/>
          </w:tcPr>
          <w:p w14:paraId="1D36E3E2" w14:textId="23811C48" w:rsidR="00552363" w:rsidRPr="00A52B68" w:rsidRDefault="00552363" w:rsidP="002D1880">
            <w:pPr>
              <w:jc w:val="center"/>
              <w:rPr>
                <w:rFonts w:asciiTheme="minorHAnsi" w:hAnsiTheme="minorHAnsi" w:cstheme="minorHAnsi"/>
                <w:b/>
                <w:bCs/>
                <w:color w:val="000000"/>
                <w:sz w:val="18"/>
                <w:szCs w:val="18"/>
                <w:lang w:eastAsia="en-GB"/>
              </w:rPr>
            </w:pPr>
            <w:r w:rsidRPr="00A52B68">
              <w:rPr>
                <w:rFonts w:asciiTheme="minorHAnsi" w:hAnsiTheme="minorHAnsi" w:cstheme="minorHAnsi"/>
                <w:b/>
                <w:bCs/>
                <w:sz w:val="18"/>
                <w:szCs w:val="18"/>
                <w:lang w:eastAsia="en-GB"/>
              </w:rPr>
              <w:t>2015/16</w:t>
            </w:r>
          </w:p>
        </w:tc>
        <w:tc>
          <w:tcPr>
            <w:tcW w:w="1258" w:type="dxa"/>
            <w:shd w:val="clear" w:color="auto" w:fill="D9D9D9" w:themeFill="background1" w:themeFillShade="D9"/>
            <w:vAlign w:val="center"/>
          </w:tcPr>
          <w:p w14:paraId="5DD109C6" w14:textId="08B95F8D" w:rsidR="00552363" w:rsidRPr="00A52B68" w:rsidRDefault="00552363" w:rsidP="002D1880">
            <w:pPr>
              <w:jc w:val="center"/>
              <w:rPr>
                <w:rFonts w:asciiTheme="minorHAnsi" w:hAnsiTheme="minorHAnsi" w:cstheme="minorHAnsi"/>
                <w:b/>
                <w:bCs/>
                <w:color w:val="000000"/>
                <w:sz w:val="18"/>
                <w:szCs w:val="18"/>
                <w:lang w:eastAsia="en-GB"/>
              </w:rPr>
            </w:pPr>
            <w:r w:rsidRPr="00A52B68">
              <w:rPr>
                <w:rFonts w:asciiTheme="minorHAnsi" w:hAnsiTheme="minorHAnsi" w:cstheme="minorHAnsi"/>
                <w:b/>
                <w:bCs/>
                <w:sz w:val="18"/>
                <w:szCs w:val="18"/>
                <w:lang w:eastAsia="en-GB"/>
              </w:rPr>
              <w:t>2016/17</w:t>
            </w:r>
          </w:p>
        </w:tc>
        <w:tc>
          <w:tcPr>
            <w:tcW w:w="1259" w:type="dxa"/>
            <w:shd w:val="clear" w:color="auto" w:fill="D9D9D9" w:themeFill="background1" w:themeFillShade="D9"/>
            <w:vAlign w:val="center"/>
          </w:tcPr>
          <w:p w14:paraId="0AB7B884" w14:textId="067AC5BD" w:rsidR="00552363" w:rsidRPr="00A52B68" w:rsidRDefault="00552363" w:rsidP="00D25BE7">
            <w:pPr>
              <w:jc w:val="center"/>
              <w:rPr>
                <w:rFonts w:asciiTheme="minorHAnsi" w:hAnsiTheme="minorHAnsi" w:cstheme="minorHAnsi"/>
                <w:b/>
                <w:bCs/>
                <w:sz w:val="18"/>
                <w:szCs w:val="18"/>
                <w:lang w:eastAsia="en-GB"/>
              </w:rPr>
            </w:pPr>
            <w:r w:rsidRPr="00A52B68">
              <w:rPr>
                <w:rFonts w:asciiTheme="minorHAnsi" w:hAnsiTheme="minorHAnsi" w:cstheme="minorHAnsi"/>
                <w:b/>
                <w:bCs/>
                <w:sz w:val="18"/>
                <w:szCs w:val="18"/>
                <w:lang w:eastAsia="en-GB"/>
              </w:rPr>
              <w:t>2017/18</w:t>
            </w:r>
          </w:p>
        </w:tc>
      </w:tr>
      <w:tr w:rsidR="00552363" w:rsidRPr="00B50EE0" w14:paraId="547777CA" w14:textId="77777777" w:rsidTr="00A52B68">
        <w:trPr>
          <w:trHeight w:val="360"/>
          <w:jc w:val="center"/>
        </w:trPr>
        <w:tc>
          <w:tcPr>
            <w:tcW w:w="2126" w:type="dxa"/>
            <w:shd w:val="clear" w:color="000000" w:fill="FFFFFF"/>
            <w:noWrap/>
            <w:vAlign w:val="center"/>
            <w:hideMark/>
          </w:tcPr>
          <w:p w14:paraId="78FD516E" w14:textId="7644DAFE" w:rsidR="00552363" w:rsidRPr="00A52B68" w:rsidRDefault="00552363" w:rsidP="002D1880">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Total Revenue</w:t>
            </w:r>
          </w:p>
        </w:tc>
        <w:tc>
          <w:tcPr>
            <w:tcW w:w="1258" w:type="dxa"/>
            <w:vAlign w:val="center"/>
          </w:tcPr>
          <w:p w14:paraId="423EAE71" w14:textId="31B3B3E7" w:rsidR="00552363" w:rsidRPr="00A52B68" w:rsidRDefault="00552363" w:rsidP="00B32D8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w:t>
            </w:r>
            <w:r w:rsidR="0041700A">
              <w:rPr>
                <w:rFonts w:asciiTheme="minorHAnsi" w:hAnsiTheme="minorHAnsi" w:cstheme="minorHAnsi"/>
                <w:color w:val="000000" w:themeColor="text1"/>
                <w:sz w:val="18"/>
                <w:szCs w:val="18"/>
                <w:lang w:eastAsia="en-GB"/>
              </w:rPr>
              <w:t>113</w:t>
            </w:r>
            <w:r w:rsidRPr="00A52B68">
              <w:rPr>
                <w:rFonts w:asciiTheme="minorHAnsi" w:hAnsiTheme="minorHAnsi" w:cstheme="minorHAnsi"/>
                <w:color w:val="000000" w:themeColor="text1"/>
                <w:sz w:val="18"/>
                <w:szCs w:val="18"/>
                <w:lang w:eastAsia="en-GB"/>
              </w:rPr>
              <w:t>,</w:t>
            </w:r>
            <w:r w:rsidR="0041700A" w:rsidRPr="00A52B68">
              <w:rPr>
                <w:rFonts w:asciiTheme="minorHAnsi" w:hAnsiTheme="minorHAnsi" w:cstheme="minorHAnsi"/>
                <w:color w:val="000000" w:themeColor="text1"/>
                <w:sz w:val="18"/>
                <w:szCs w:val="18"/>
                <w:lang w:eastAsia="en-GB"/>
              </w:rPr>
              <w:t>4</w:t>
            </w:r>
            <w:r w:rsidR="0041700A">
              <w:rPr>
                <w:rFonts w:asciiTheme="minorHAnsi" w:hAnsiTheme="minorHAnsi" w:cstheme="minorHAnsi"/>
                <w:color w:val="000000" w:themeColor="text1"/>
                <w:sz w:val="18"/>
                <w:szCs w:val="18"/>
                <w:lang w:eastAsia="en-GB"/>
              </w:rPr>
              <w:t>12</w:t>
            </w:r>
          </w:p>
        </w:tc>
        <w:tc>
          <w:tcPr>
            <w:tcW w:w="1259" w:type="dxa"/>
            <w:vAlign w:val="center"/>
          </w:tcPr>
          <w:p w14:paraId="2929D007" w14:textId="44B85101" w:rsidR="00552363" w:rsidRPr="00A52B68" w:rsidRDefault="00552363" w:rsidP="00B32D8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w:t>
            </w:r>
            <w:r w:rsidR="0041700A" w:rsidRPr="00A52B68">
              <w:rPr>
                <w:rFonts w:asciiTheme="minorHAnsi" w:hAnsiTheme="minorHAnsi" w:cstheme="minorHAnsi"/>
                <w:color w:val="000000" w:themeColor="text1"/>
                <w:sz w:val="18"/>
                <w:szCs w:val="18"/>
                <w:lang w:eastAsia="en-GB"/>
              </w:rPr>
              <w:t>2</w:t>
            </w:r>
            <w:r w:rsidR="0041700A">
              <w:rPr>
                <w:rFonts w:asciiTheme="minorHAnsi" w:hAnsiTheme="minorHAnsi" w:cstheme="minorHAnsi"/>
                <w:color w:val="000000" w:themeColor="text1"/>
                <w:sz w:val="18"/>
                <w:szCs w:val="18"/>
                <w:lang w:eastAsia="en-GB"/>
              </w:rPr>
              <w:t>34</w:t>
            </w:r>
            <w:r w:rsidRPr="00A52B68">
              <w:rPr>
                <w:rFonts w:asciiTheme="minorHAnsi" w:hAnsiTheme="minorHAnsi" w:cstheme="minorHAnsi"/>
                <w:color w:val="000000" w:themeColor="text1"/>
                <w:sz w:val="18"/>
                <w:szCs w:val="18"/>
                <w:lang w:eastAsia="en-GB"/>
              </w:rPr>
              <w:t>,</w:t>
            </w:r>
            <w:r w:rsidR="006105D5">
              <w:rPr>
                <w:rFonts w:asciiTheme="minorHAnsi" w:hAnsiTheme="minorHAnsi" w:cstheme="minorHAnsi"/>
                <w:color w:val="000000" w:themeColor="text1"/>
                <w:sz w:val="18"/>
                <w:szCs w:val="18"/>
                <w:lang w:eastAsia="en-GB"/>
              </w:rPr>
              <w:t>554</w:t>
            </w:r>
            <w:r w:rsidR="006105D5" w:rsidRPr="00A52B68">
              <w:rPr>
                <w:rFonts w:asciiTheme="minorHAnsi" w:hAnsiTheme="minorHAnsi" w:cstheme="minorHAnsi"/>
                <w:color w:val="000000" w:themeColor="text1"/>
                <w:sz w:val="18"/>
                <w:szCs w:val="18"/>
                <w:lang w:eastAsia="en-GB"/>
              </w:rPr>
              <w:t xml:space="preserve"> </w:t>
            </w:r>
          </w:p>
        </w:tc>
        <w:tc>
          <w:tcPr>
            <w:tcW w:w="1258" w:type="dxa"/>
            <w:vAlign w:val="center"/>
          </w:tcPr>
          <w:p w14:paraId="441E5D5B" w14:textId="527DAAA4" w:rsidR="00552363" w:rsidRPr="00A52B68" w:rsidRDefault="00552363" w:rsidP="007A0F4A">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1,40</w:t>
            </w:r>
            <w:r w:rsidR="006105D5">
              <w:rPr>
                <w:rFonts w:asciiTheme="minorHAnsi" w:hAnsiTheme="minorHAnsi" w:cstheme="minorHAnsi"/>
                <w:color w:val="000000" w:themeColor="text1"/>
                <w:sz w:val="18"/>
                <w:szCs w:val="18"/>
                <w:lang w:eastAsia="en-GB"/>
              </w:rPr>
              <w:t>9</w:t>
            </w:r>
            <w:r w:rsidRPr="00A52B68">
              <w:rPr>
                <w:rFonts w:asciiTheme="minorHAnsi" w:hAnsiTheme="minorHAnsi" w:cstheme="minorHAnsi"/>
                <w:color w:val="000000" w:themeColor="text1"/>
                <w:sz w:val="18"/>
                <w:szCs w:val="18"/>
                <w:lang w:eastAsia="en-GB"/>
              </w:rPr>
              <w:t>,</w:t>
            </w:r>
            <w:r w:rsidR="006105D5" w:rsidRPr="00A52B68">
              <w:rPr>
                <w:rFonts w:asciiTheme="minorHAnsi" w:hAnsiTheme="minorHAnsi" w:cstheme="minorHAnsi"/>
                <w:color w:val="000000" w:themeColor="text1"/>
                <w:sz w:val="18"/>
                <w:szCs w:val="18"/>
                <w:lang w:eastAsia="en-GB"/>
              </w:rPr>
              <w:t>8</w:t>
            </w:r>
            <w:r w:rsidR="006105D5">
              <w:rPr>
                <w:rFonts w:asciiTheme="minorHAnsi" w:hAnsiTheme="minorHAnsi" w:cstheme="minorHAnsi"/>
                <w:color w:val="000000" w:themeColor="text1"/>
                <w:sz w:val="18"/>
                <w:szCs w:val="18"/>
                <w:lang w:eastAsia="en-GB"/>
              </w:rPr>
              <w:t>23</w:t>
            </w:r>
          </w:p>
        </w:tc>
        <w:tc>
          <w:tcPr>
            <w:tcW w:w="1259" w:type="dxa"/>
            <w:vAlign w:val="center"/>
          </w:tcPr>
          <w:p w14:paraId="2045D1FA" w14:textId="3A084299" w:rsidR="00552363" w:rsidRPr="00A52B68" w:rsidRDefault="00552363" w:rsidP="007A0F4A">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w:t>
            </w:r>
            <w:r w:rsidR="006105D5">
              <w:rPr>
                <w:rFonts w:asciiTheme="minorHAnsi" w:hAnsiTheme="minorHAnsi" w:cstheme="minorHAnsi"/>
                <w:color w:val="000000" w:themeColor="text1"/>
                <w:sz w:val="18"/>
                <w:szCs w:val="18"/>
                <w:lang w:eastAsia="en-GB"/>
              </w:rPr>
              <w:t>591,889</w:t>
            </w:r>
          </w:p>
        </w:tc>
      </w:tr>
      <w:tr w:rsidR="00552363" w:rsidRPr="00B50EE0" w14:paraId="70398BBD" w14:textId="77777777" w:rsidTr="00A52B68">
        <w:trPr>
          <w:trHeight w:val="360"/>
          <w:jc w:val="center"/>
        </w:trPr>
        <w:tc>
          <w:tcPr>
            <w:tcW w:w="2126" w:type="dxa"/>
            <w:shd w:val="clear" w:color="000000" w:fill="FFFFFF"/>
            <w:noWrap/>
            <w:vAlign w:val="center"/>
            <w:hideMark/>
          </w:tcPr>
          <w:p w14:paraId="063B6577" w14:textId="3E607546" w:rsidR="00552363" w:rsidRPr="00A52B68" w:rsidRDefault="00552363" w:rsidP="002D1880">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Net Operating Profit After Tax</w:t>
            </w:r>
          </w:p>
        </w:tc>
        <w:tc>
          <w:tcPr>
            <w:tcW w:w="1258" w:type="dxa"/>
            <w:vAlign w:val="center"/>
          </w:tcPr>
          <w:p w14:paraId="7B494EE9" w14:textId="2F82AAE6" w:rsidR="00552363" w:rsidRPr="00A52B68" w:rsidRDefault="006105D5" w:rsidP="00B32D85">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89</w:t>
            </w:r>
            <w:r w:rsidR="00552363" w:rsidRPr="00A52B68">
              <w:rPr>
                <w:rFonts w:asciiTheme="minorHAnsi" w:hAnsiTheme="minorHAnsi" w:cstheme="minorHAnsi"/>
                <w:color w:val="000000" w:themeColor="text1"/>
                <w:sz w:val="18"/>
                <w:szCs w:val="18"/>
                <w:lang w:eastAsia="en-GB"/>
              </w:rPr>
              <w:t>,</w:t>
            </w:r>
            <w:r>
              <w:rPr>
                <w:rFonts w:asciiTheme="minorHAnsi" w:hAnsiTheme="minorHAnsi" w:cstheme="minorHAnsi"/>
                <w:color w:val="000000" w:themeColor="text1"/>
                <w:sz w:val="18"/>
                <w:szCs w:val="18"/>
                <w:lang w:eastAsia="en-GB"/>
              </w:rPr>
              <w:t>212</w:t>
            </w:r>
          </w:p>
        </w:tc>
        <w:tc>
          <w:tcPr>
            <w:tcW w:w="1259" w:type="dxa"/>
            <w:vAlign w:val="center"/>
          </w:tcPr>
          <w:p w14:paraId="2FB03AFB" w14:textId="17CE7085" w:rsidR="00552363" w:rsidRPr="00A52B68" w:rsidRDefault="00552363" w:rsidP="00B32D85">
            <w:pPr>
              <w:jc w:val="right"/>
              <w:rPr>
                <w:rFonts w:asciiTheme="minorHAnsi" w:hAnsiTheme="minorHAnsi" w:cstheme="minorHAnsi"/>
                <w:color w:val="FF0000"/>
                <w:sz w:val="18"/>
                <w:szCs w:val="18"/>
                <w:lang w:eastAsia="en-GB"/>
              </w:rPr>
            </w:pPr>
            <w:r w:rsidRPr="00A52B68">
              <w:rPr>
                <w:rFonts w:asciiTheme="minorHAnsi" w:hAnsiTheme="minorHAnsi" w:cstheme="minorHAnsi"/>
                <w:color w:val="000000" w:themeColor="text1"/>
                <w:sz w:val="18"/>
                <w:szCs w:val="18"/>
                <w:lang w:eastAsia="en-GB"/>
              </w:rPr>
              <w:t>10</w:t>
            </w:r>
            <w:r w:rsidR="006105D5">
              <w:rPr>
                <w:rFonts w:asciiTheme="minorHAnsi" w:hAnsiTheme="minorHAnsi" w:cstheme="minorHAnsi"/>
                <w:color w:val="000000" w:themeColor="text1"/>
                <w:sz w:val="18"/>
                <w:szCs w:val="18"/>
                <w:lang w:eastAsia="en-GB"/>
              </w:rPr>
              <w:t>5</w:t>
            </w:r>
            <w:r w:rsidRPr="00A52B68">
              <w:rPr>
                <w:rFonts w:asciiTheme="minorHAnsi" w:hAnsiTheme="minorHAnsi" w:cstheme="minorHAnsi"/>
                <w:color w:val="000000" w:themeColor="text1"/>
                <w:sz w:val="18"/>
                <w:szCs w:val="18"/>
                <w:lang w:eastAsia="en-GB"/>
              </w:rPr>
              <w:t>,</w:t>
            </w:r>
            <w:r w:rsidR="006105D5">
              <w:rPr>
                <w:rFonts w:asciiTheme="minorHAnsi" w:hAnsiTheme="minorHAnsi" w:cstheme="minorHAnsi"/>
                <w:color w:val="000000" w:themeColor="text1"/>
                <w:sz w:val="18"/>
                <w:szCs w:val="18"/>
                <w:lang w:eastAsia="en-GB"/>
              </w:rPr>
              <w:t>872</w:t>
            </w:r>
          </w:p>
        </w:tc>
        <w:tc>
          <w:tcPr>
            <w:tcW w:w="1258" w:type="dxa"/>
            <w:vAlign w:val="center"/>
          </w:tcPr>
          <w:p w14:paraId="16D3843B" w14:textId="787DC13C" w:rsidR="00552363" w:rsidRPr="00A52B68" w:rsidRDefault="006105D5" w:rsidP="007A0F4A">
            <w:pPr>
              <w:jc w:val="right"/>
              <w:rPr>
                <w:rFonts w:asciiTheme="minorHAnsi" w:hAnsiTheme="minorHAnsi" w:cstheme="minorHAnsi"/>
                <w:color w:val="FF0000"/>
                <w:sz w:val="18"/>
                <w:szCs w:val="18"/>
                <w:lang w:eastAsia="en-GB"/>
              </w:rPr>
            </w:pPr>
            <w:r w:rsidRPr="00A52B68">
              <w:rPr>
                <w:rFonts w:asciiTheme="minorHAnsi" w:hAnsiTheme="minorHAnsi" w:cstheme="minorHAnsi"/>
                <w:color w:val="000000" w:themeColor="text1"/>
                <w:sz w:val="18"/>
                <w:szCs w:val="18"/>
                <w:lang w:eastAsia="en-GB"/>
              </w:rPr>
              <w:t>14</w:t>
            </w:r>
            <w:r>
              <w:rPr>
                <w:rFonts w:asciiTheme="minorHAnsi" w:hAnsiTheme="minorHAnsi" w:cstheme="minorHAnsi"/>
                <w:color w:val="000000" w:themeColor="text1"/>
                <w:sz w:val="18"/>
                <w:szCs w:val="18"/>
                <w:lang w:eastAsia="en-GB"/>
              </w:rPr>
              <w:t>9</w:t>
            </w:r>
            <w:r w:rsidR="00552363" w:rsidRPr="00A52B68">
              <w:rPr>
                <w:rFonts w:asciiTheme="minorHAnsi" w:hAnsiTheme="minorHAnsi" w:cstheme="minorHAnsi"/>
                <w:color w:val="000000" w:themeColor="text1"/>
                <w:sz w:val="18"/>
                <w:szCs w:val="18"/>
                <w:lang w:eastAsia="en-GB"/>
              </w:rPr>
              <w:t>,</w:t>
            </w:r>
            <w:r>
              <w:rPr>
                <w:rFonts w:asciiTheme="minorHAnsi" w:hAnsiTheme="minorHAnsi" w:cstheme="minorHAnsi"/>
                <w:color w:val="000000" w:themeColor="text1"/>
                <w:sz w:val="18"/>
                <w:szCs w:val="18"/>
                <w:lang w:eastAsia="en-GB"/>
              </w:rPr>
              <w:t>005</w:t>
            </w:r>
          </w:p>
        </w:tc>
        <w:tc>
          <w:tcPr>
            <w:tcW w:w="1259" w:type="dxa"/>
            <w:vAlign w:val="center"/>
          </w:tcPr>
          <w:p w14:paraId="40D0C317" w14:textId="234BAAF7" w:rsidR="00552363" w:rsidRPr="00A52B68" w:rsidRDefault="00552363" w:rsidP="007A0F4A">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19</w:t>
            </w:r>
            <w:r w:rsidR="006105D5">
              <w:rPr>
                <w:rFonts w:asciiTheme="minorHAnsi" w:hAnsiTheme="minorHAnsi" w:cstheme="minorHAnsi"/>
                <w:color w:val="000000" w:themeColor="text1"/>
                <w:sz w:val="18"/>
                <w:szCs w:val="18"/>
                <w:lang w:eastAsia="en-GB"/>
              </w:rPr>
              <w:t>5</w:t>
            </w:r>
            <w:r w:rsidRPr="00A52B68">
              <w:rPr>
                <w:rFonts w:asciiTheme="minorHAnsi" w:hAnsiTheme="minorHAnsi" w:cstheme="minorHAnsi"/>
                <w:color w:val="000000" w:themeColor="text1"/>
                <w:sz w:val="18"/>
                <w:szCs w:val="18"/>
                <w:lang w:eastAsia="en-GB"/>
              </w:rPr>
              <w:t>,</w:t>
            </w:r>
            <w:r w:rsidR="006105D5">
              <w:rPr>
                <w:rFonts w:asciiTheme="minorHAnsi" w:hAnsiTheme="minorHAnsi" w:cstheme="minorHAnsi"/>
                <w:color w:val="000000" w:themeColor="text1"/>
                <w:sz w:val="18"/>
                <w:szCs w:val="18"/>
                <w:lang w:eastAsia="en-GB"/>
              </w:rPr>
              <w:t>462</w:t>
            </w:r>
          </w:p>
        </w:tc>
      </w:tr>
      <w:tr w:rsidR="00552363" w:rsidRPr="00B50EE0" w14:paraId="7A36656A" w14:textId="77777777" w:rsidTr="00A52B68">
        <w:trPr>
          <w:trHeight w:val="360"/>
          <w:jc w:val="center"/>
        </w:trPr>
        <w:tc>
          <w:tcPr>
            <w:tcW w:w="2126" w:type="dxa"/>
            <w:shd w:val="clear" w:color="000000" w:fill="FFFFFF"/>
            <w:noWrap/>
            <w:vAlign w:val="center"/>
            <w:hideMark/>
          </w:tcPr>
          <w:p w14:paraId="6AB2BEFA" w14:textId="78132C4C" w:rsidR="00552363" w:rsidRPr="00A52B68" w:rsidRDefault="00552363" w:rsidP="002D1880">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Capital Grants Received</w:t>
            </w:r>
          </w:p>
        </w:tc>
        <w:tc>
          <w:tcPr>
            <w:tcW w:w="1258" w:type="dxa"/>
            <w:vAlign w:val="center"/>
          </w:tcPr>
          <w:p w14:paraId="37360268" w14:textId="28EA7DA1" w:rsidR="00552363" w:rsidRPr="00A52B68" w:rsidRDefault="007131E7" w:rsidP="002D1880">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124,959</w:t>
            </w:r>
          </w:p>
        </w:tc>
        <w:tc>
          <w:tcPr>
            <w:tcW w:w="1259" w:type="dxa"/>
            <w:vAlign w:val="center"/>
          </w:tcPr>
          <w:p w14:paraId="66557D9F" w14:textId="096B77F2"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203,220</w:t>
            </w:r>
          </w:p>
        </w:tc>
        <w:tc>
          <w:tcPr>
            <w:tcW w:w="1258" w:type="dxa"/>
            <w:vAlign w:val="center"/>
          </w:tcPr>
          <w:p w14:paraId="78C11FD0" w14:textId="46E2504C"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435,8</w:t>
            </w:r>
            <w:r w:rsidR="007131E7">
              <w:rPr>
                <w:rFonts w:asciiTheme="minorHAnsi" w:hAnsiTheme="minorHAnsi" w:cstheme="minorHAnsi"/>
                <w:color w:val="000000" w:themeColor="text1"/>
                <w:sz w:val="18"/>
                <w:szCs w:val="18"/>
                <w:lang w:eastAsia="en-GB"/>
              </w:rPr>
              <w:t>6</w:t>
            </w:r>
            <w:r w:rsidRPr="00A52B68">
              <w:rPr>
                <w:rFonts w:asciiTheme="minorHAnsi" w:hAnsiTheme="minorHAnsi" w:cstheme="minorHAnsi"/>
                <w:color w:val="000000" w:themeColor="text1"/>
                <w:sz w:val="18"/>
                <w:szCs w:val="18"/>
                <w:lang w:eastAsia="en-GB"/>
              </w:rPr>
              <w:t>4</w:t>
            </w:r>
          </w:p>
        </w:tc>
        <w:tc>
          <w:tcPr>
            <w:tcW w:w="1259" w:type="dxa"/>
            <w:vAlign w:val="center"/>
          </w:tcPr>
          <w:p w14:paraId="5C5604C4" w14:textId="732F4009" w:rsidR="00552363" w:rsidRPr="00A52B68" w:rsidRDefault="007131E7" w:rsidP="00A45F28">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280,711</w:t>
            </w:r>
          </w:p>
        </w:tc>
      </w:tr>
      <w:tr w:rsidR="00552363" w:rsidRPr="00B50EE0" w14:paraId="0C3E7083" w14:textId="77777777" w:rsidTr="00A52B68">
        <w:trPr>
          <w:trHeight w:val="360"/>
          <w:jc w:val="center"/>
        </w:trPr>
        <w:tc>
          <w:tcPr>
            <w:tcW w:w="2126" w:type="dxa"/>
            <w:shd w:val="clear" w:color="000000" w:fill="FFFFFF"/>
            <w:noWrap/>
            <w:vAlign w:val="center"/>
            <w:hideMark/>
          </w:tcPr>
          <w:p w14:paraId="13DD9CB4" w14:textId="77777777" w:rsidR="00552363" w:rsidRPr="00A52B68" w:rsidRDefault="00552363" w:rsidP="002D1880">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Total Assets</w:t>
            </w:r>
          </w:p>
        </w:tc>
        <w:tc>
          <w:tcPr>
            <w:tcW w:w="1258" w:type="dxa"/>
            <w:vAlign w:val="center"/>
          </w:tcPr>
          <w:p w14:paraId="6073515C" w14:textId="76B87D98"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5,</w:t>
            </w:r>
            <w:r w:rsidR="003674E5">
              <w:rPr>
                <w:rFonts w:asciiTheme="minorHAnsi" w:hAnsiTheme="minorHAnsi" w:cstheme="minorHAnsi"/>
                <w:color w:val="000000" w:themeColor="text1"/>
                <w:sz w:val="18"/>
                <w:szCs w:val="18"/>
                <w:lang w:eastAsia="en-GB"/>
              </w:rPr>
              <w:t>562,622</w:t>
            </w:r>
          </w:p>
        </w:tc>
        <w:tc>
          <w:tcPr>
            <w:tcW w:w="1259" w:type="dxa"/>
            <w:vAlign w:val="center"/>
          </w:tcPr>
          <w:p w14:paraId="37D16F58" w14:textId="1EB738D1" w:rsidR="00552363" w:rsidRPr="00A52B68" w:rsidRDefault="003674E5" w:rsidP="002D1880">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6,182,161</w:t>
            </w:r>
          </w:p>
        </w:tc>
        <w:tc>
          <w:tcPr>
            <w:tcW w:w="1258" w:type="dxa"/>
            <w:vAlign w:val="center"/>
          </w:tcPr>
          <w:p w14:paraId="78A96785" w14:textId="20CF87AA"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7,018,127</w:t>
            </w:r>
          </w:p>
        </w:tc>
        <w:tc>
          <w:tcPr>
            <w:tcW w:w="1259" w:type="dxa"/>
            <w:vAlign w:val="center"/>
          </w:tcPr>
          <w:p w14:paraId="3BE4FED2" w14:textId="2DCE814C" w:rsidR="00552363" w:rsidRPr="00A52B68" w:rsidRDefault="00552363" w:rsidP="00B32D8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7,97</w:t>
            </w:r>
            <w:r w:rsidR="003674E5">
              <w:rPr>
                <w:rFonts w:asciiTheme="minorHAnsi" w:hAnsiTheme="minorHAnsi" w:cstheme="minorHAnsi"/>
                <w:color w:val="000000" w:themeColor="text1"/>
                <w:sz w:val="18"/>
                <w:szCs w:val="18"/>
                <w:lang w:eastAsia="en-GB"/>
              </w:rPr>
              <w:t>7</w:t>
            </w:r>
            <w:r w:rsidRPr="00A52B68">
              <w:rPr>
                <w:rFonts w:asciiTheme="minorHAnsi" w:hAnsiTheme="minorHAnsi" w:cstheme="minorHAnsi"/>
                <w:color w:val="000000" w:themeColor="text1"/>
                <w:sz w:val="18"/>
                <w:szCs w:val="18"/>
                <w:lang w:eastAsia="en-GB"/>
              </w:rPr>
              <w:t>,</w:t>
            </w:r>
            <w:r w:rsidR="003674E5">
              <w:rPr>
                <w:rFonts w:asciiTheme="minorHAnsi" w:hAnsiTheme="minorHAnsi" w:cstheme="minorHAnsi"/>
                <w:color w:val="000000" w:themeColor="text1"/>
                <w:sz w:val="18"/>
                <w:szCs w:val="18"/>
                <w:lang w:eastAsia="en-GB"/>
              </w:rPr>
              <w:t>019</w:t>
            </w:r>
          </w:p>
        </w:tc>
      </w:tr>
      <w:tr w:rsidR="00552363" w:rsidRPr="00B50EE0" w14:paraId="29E789A9" w14:textId="77777777" w:rsidTr="00A52B68">
        <w:trPr>
          <w:trHeight w:val="360"/>
          <w:jc w:val="center"/>
        </w:trPr>
        <w:tc>
          <w:tcPr>
            <w:tcW w:w="2126" w:type="dxa"/>
            <w:shd w:val="clear" w:color="000000" w:fill="FFFFFF"/>
            <w:noWrap/>
            <w:vAlign w:val="center"/>
            <w:hideMark/>
          </w:tcPr>
          <w:p w14:paraId="526F145A" w14:textId="77777777" w:rsidR="00552363" w:rsidRPr="00A52B68" w:rsidRDefault="00552363" w:rsidP="002D1880">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Total Liabilities</w:t>
            </w:r>
          </w:p>
        </w:tc>
        <w:tc>
          <w:tcPr>
            <w:tcW w:w="1258" w:type="dxa"/>
            <w:vAlign w:val="center"/>
          </w:tcPr>
          <w:p w14:paraId="3627F6AD" w14:textId="358E9424" w:rsidR="00552363" w:rsidRPr="00A52B68" w:rsidRDefault="00552363" w:rsidP="00B32D8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1,00</w:t>
            </w:r>
            <w:r w:rsidR="007131E7">
              <w:rPr>
                <w:rFonts w:asciiTheme="minorHAnsi" w:hAnsiTheme="minorHAnsi" w:cstheme="minorHAnsi"/>
                <w:color w:val="000000" w:themeColor="text1"/>
                <w:sz w:val="18"/>
                <w:szCs w:val="18"/>
                <w:lang w:eastAsia="en-GB"/>
              </w:rPr>
              <w:t>9</w:t>
            </w:r>
            <w:r w:rsidRPr="00A52B68">
              <w:rPr>
                <w:rFonts w:asciiTheme="minorHAnsi" w:hAnsiTheme="minorHAnsi" w:cstheme="minorHAnsi"/>
                <w:color w:val="000000" w:themeColor="text1"/>
                <w:sz w:val="18"/>
                <w:szCs w:val="18"/>
                <w:lang w:eastAsia="en-GB"/>
              </w:rPr>
              <w:t>,</w:t>
            </w:r>
            <w:r w:rsidR="007131E7">
              <w:rPr>
                <w:rFonts w:asciiTheme="minorHAnsi" w:hAnsiTheme="minorHAnsi" w:cstheme="minorHAnsi"/>
                <w:color w:val="000000" w:themeColor="text1"/>
                <w:sz w:val="18"/>
                <w:szCs w:val="18"/>
                <w:lang w:eastAsia="en-GB"/>
              </w:rPr>
              <w:t>247</w:t>
            </w:r>
          </w:p>
        </w:tc>
        <w:tc>
          <w:tcPr>
            <w:tcW w:w="1259" w:type="dxa"/>
            <w:vAlign w:val="center"/>
          </w:tcPr>
          <w:p w14:paraId="0A6C9478" w14:textId="633D7767" w:rsidR="00552363" w:rsidRPr="00A52B68" w:rsidRDefault="00552363" w:rsidP="00B32D8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1,2</w:t>
            </w:r>
            <w:r w:rsidR="007131E7">
              <w:rPr>
                <w:rFonts w:asciiTheme="minorHAnsi" w:hAnsiTheme="minorHAnsi" w:cstheme="minorHAnsi"/>
                <w:color w:val="000000" w:themeColor="text1"/>
                <w:sz w:val="18"/>
                <w:szCs w:val="18"/>
                <w:lang w:eastAsia="en-GB"/>
              </w:rPr>
              <w:t>17</w:t>
            </w:r>
            <w:r w:rsidRPr="00A52B68">
              <w:rPr>
                <w:rFonts w:asciiTheme="minorHAnsi" w:hAnsiTheme="minorHAnsi" w:cstheme="minorHAnsi"/>
                <w:color w:val="000000" w:themeColor="text1"/>
                <w:sz w:val="18"/>
                <w:szCs w:val="18"/>
                <w:lang w:eastAsia="en-GB"/>
              </w:rPr>
              <w:t>,</w:t>
            </w:r>
            <w:r w:rsidR="007131E7">
              <w:rPr>
                <w:rFonts w:asciiTheme="minorHAnsi" w:hAnsiTheme="minorHAnsi" w:cstheme="minorHAnsi"/>
                <w:color w:val="000000" w:themeColor="text1"/>
                <w:sz w:val="18"/>
                <w:szCs w:val="18"/>
                <w:lang w:eastAsia="en-GB"/>
              </w:rPr>
              <w:t>587</w:t>
            </w:r>
          </w:p>
        </w:tc>
        <w:tc>
          <w:tcPr>
            <w:tcW w:w="1258" w:type="dxa"/>
            <w:vAlign w:val="center"/>
          </w:tcPr>
          <w:p w14:paraId="028875EC" w14:textId="0F9DCE55"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2,349,184</w:t>
            </w:r>
          </w:p>
        </w:tc>
        <w:tc>
          <w:tcPr>
            <w:tcW w:w="1259" w:type="dxa"/>
            <w:vAlign w:val="center"/>
          </w:tcPr>
          <w:p w14:paraId="279A70CC" w14:textId="3E281470" w:rsidR="00552363" w:rsidRPr="00A52B68" w:rsidRDefault="00552363" w:rsidP="00B32D8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3,06</w:t>
            </w:r>
            <w:r w:rsidR="003674E5">
              <w:rPr>
                <w:rFonts w:asciiTheme="minorHAnsi" w:hAnsiTheme="minorHAnsi" w:cstheme="minorHAnsi"/>
                <w:color w:val="000000" w:themeColor="text1"/>
                <w:sz w:val="18"/>
                <w:szCs w:val="18"/>
                <w:lang w:eastAsia="en-GB"/>
              </w:rPr>
              <w:t>5</w:t>
            </w:r>
            <w:r w:rsidRPr="00A52B68">
              <w:rPr>
                <w:rFonts w:asciiTheme="minorHAnsi" w:hAnsiTheme="minorHAnsi" w:cstheme="minorHAnsi"/>
                <w:color w:val="000000" w:themeColor="text1"/>
                <w:sz w:val="18"/>
                <w:szCs w:val="18"/>
                <w:lang w:eastAsia="en-GB"/>
              </w:rPr>
              <w:t>,</w:t>
            </w:r>
            <w:r w:rsidR="003674E5">
              <w:rPr>
                <w:rFonts w:asciiTheme="minorHAnsi" w:hAnsiTheme="minorHAnsi" w:cstheme="minorHAnsi"/>
                <w:color w:val="000000" w:themeColor="text1"/>
                <w:sz w:val="18"/>
                <w:szCs w:val="18"/>
                <w:lang w:eastAsia="en-GB"/>
              </w:rPr>
              <w:t>973</w:t>
            </w:r>
          </w:p>
        </w:tc>
      </w:tr>
      <w:tr w:rsidR="00552363" w:rsidRPr="00B50EE0" w14:paraId="1CD9FDF4" w14:textId="77777777" w:rsidTr="00A52B68">
        <w:trPr>
          <w:trHeight w:val="360"/>
          <w:jc w:val="center"/>
        </w:trPr>
        <w:tc>
          <w:tcPr>
            <w:tcW w:w="2126" w:type="dxa"/>
            <w:shd w:val="clear" w:color="000000" w:fill="FFFFFF"/>
            <w:noWrap/>
            <w:vAlign w:val="center"/>
            <w:hideMark/>
          </w:tcPr>
          <w:p w14:paraId="3298EEB7" w14:textId="77777777" w:rsidR="00552363" w:rsidRPr="00A52B68" w:rsidRDefault="00552363" w:rsidP="002D1880">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Shareholders' Funds</w:t>
            </w:r>
          </w:p>
        </w:tc>
        <w:tc>
          <w:tcPr>
            <w:tcW w:w="1258" w:type="dxa"/>
            <w:vAlign w:val="center"/>
          </w:tcPr>
          <w:p w14:paraId="4563965D" w14:textId="22A4F4C4" w:rsidR="00552363" w:rsidRPr="00A52B68" w:rsidRDefault="00552363" w:rsidP="00B32D8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4,</w:t>
            </w:r>
            <w:r w:rsidR="002501F8">
              <w:rPr>
                <w:rFonts w:asciiTheme="minorHAnsi" w:hAnsiTheme="minorHAnsi" w:cstheme="minorHAnsi"/>
                <w:color w:val="000000" w:themeColor="text1"/>
                <w:sz w:val="18"/>
                <w:szCs w:val="18"/>
                <w:lang w:eastAsia="en-GB"/>
              </w:rPr>
              <w:t>553,375</w:t>
            </w:r>
          </w:p>
        </w:tc>
        <w:tc>
          <w:tcPr>
            <w:tcW w:w="1259" w:type="dxa"/>
            <w:vAlign w:val="center"/>
          </w:tcPr>
          <w:p w14:paraId="300A9F8C" w14:textId="2D4EC225" w:rsidR="00552363" w:rsidRPr="00A52B68" w:rsidRDefault="00552363" w:rsidP="00B32D8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4,</w:t>
            </w:r>
            <w:r w:rsidR="002501F8">
              <w:rPr>
                <w:rFonts w:asciiTheme="minorHAnsi" w:hAnsiTheme="minorHAnsi" w:cstheme="minorHAnsi"/>
                <w:color w:val="000000" w:themeColor="text1"/>
                <w:sz w:val="18"/>
                <w:szCs w:val="18"/>
                <w:lang w:eastAsia="en-GB"/>
              </w:rPr>
              <w:t>964,574</w:t>
            </w:r>
          </w:p>
        </w:tc>
        <w:tc>
          <w:tcPr>
            <w:tcW w:w="1258" w:type="dxa"/>
            <w:vAlign w:val="center"/>
          </w:tcPr>
          <w:p w14:paraId="22979920" w14:textId="619CB4CD"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4,668,943</w:t>
            </w:r>
          </w:p>
        </w:tc>
        <w:tc>
          <w:tcPr>
            <w:tcW w:w="1259" w:type="dxa"/>
            <w:vAlign w:val="center"/>
          </w:tcPr>
          <w:p w14:paraId="18974D48" w14:textId="1F67BAC4" w:rsidR="00552363" w:rsidRPr="00A52B68" w:rsidRDefault="00552363" w:rsidP="00B32D8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4,91</w:t>
            </w:r>
            <w:r w:rsidR="002501F8">
              <w:rPr>
                <w:rFonts w:asciiTheme="minorHAnsi" w:hAnsiTheme="minorHAnsi" w:cstheme="minorHAnsi"/>
                <w:color w:val="000000" w:themeColor="text1"/>
                <w:sz w:val="18"/>
                <w:szCs w:val="18"/>
                <w:lang w:eastAsia="en-GB"/>
              </w:rPr>
              <w:t>1</w:t>
            </w:r>
            <w:r w:rsidRPr="00A52B68">
              <w:rPr>
                <w:rFonts w:asciiTheme="minorHAnsi" w:hAnsiTheme="minorHAnsi" w:cstheme="minorHAnsi"/>
                <w:color w:val="000000" w:themeColor="text1"/>
                <w:sz w:val="18"/>
                <w:szCs w:val="18"/>
                <w:lang w:eastAsia="en-GB"/>
              </w:rPr>
              <w:t>,</w:t>
            </w:r>
            <w:r w:rsidR="002501F8">
              <w:rPr>
                <w:rFonts w:asciiTheme="minorHAnsi" w:hAnsiTheme="minorHAnsi" w:cstheme="minorHAnsi"/>
                <w:color w:val="000000" w:themeColor="text1"/>
                <w:sz w:val="18"/>
                <w:szCs w:val="18"/>
                <w:lang w:eastAsia="en-GB"/>
              </w:rPr>
              <w:t>046</w:t>
            </w:r>
          </w:p>
        </w:tc>
      </w:tr>
      <w:tr w:rsidR="00552363" w:rsidRPr="00B50EE0" w14:paraId="12A111A2" w14:textId="77777777" w:rsidTr="00A52B68">
        <w:trPr>
          <w:trHeight w:val="360"/>
          <w:jc w:val="center"/>
        </w:trPr>
        <w:tc>
          <w:tcPr>
            <w:tcW w:w="2126" w:type="dxa"/>
            <w:shd w:val="clear" w:color="000000" w:fill="FFFFFF"/>
            <w:noWrap/>
            <w:vAlign w:val="center"/>
          </w:tcPr>
          <w:p w14:paraId="0277EE6C" w14:textId="32D4A845" w:rsidR="00552363" w:rsidRPr="00A52B68" w:rsidRDefault="00552363" w:rsidP="002D1880">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lastRenderedPageBreak/>
              <w:t>EBITDA %</w:t>
            </w:r>
          </w:p>
        </w:tc>
        <w:tc>
          <w:tcPr>
            <w:tcW w:w="1258" w:type="dxa"/>
            <w:vAlign w:val="center"/>
          </w:tcPr>
          <w:p w14:paraId="5B705698" w14:textId="6974AC05"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2</w:t>
            </w:r>
            <w:r w:rsidR="006D7572">
              <w:rPr>
                <w:rFonts w:asciiTheme="minorHAnsi" w:hAnsiTheme="minorHAnsi" w:cstheme="minorHAnsi"/>
                <w:color w:val="000000" w:themeColor="text1"/>
                <w:sz w:val="18"/>
                <w:szCs w:val="18"/>
                <w:lang w:eastAsia="en-GB"/>
              </w:rPr>
              <w:t>1</w:t>
            </w:r>
            <w:r w:rsidRPr="00A52B68">
              <w:rPr>
                <w:rFonts w:asciiTheme="minorHAnsi" w:hAnsiTheme="minorHAnsi" w:cstheme="minorHAnsi"/>
                <w:color w:val="000000" w:themeColor="text1"/>
                <w:sz w:val="18"/>
                <w:szCs w:val="18"/>
                <w:lang w:eastAsia="en-GB"/>
              </w:rPr>
              <w:t>%</w:t>
            </w:r>
          </w:p>
        </w:tc>
        <w:tc>
          <w:tcPr>
            <w:tcW w:w="1259" w:type="dxa"/>
            <w:vAlign w:val="center"/>
          </w:tcPr>
          <w:p w14:paraId="4E024D52" w14:textId="6E6347F1"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20%</w:t>
            </w:r>
          </w:p>
        </w:tc>
        <w:tc>
          <w:tcPr>
            <w:tcW w:w="1258" w:type="dxa"/>
            <w:vAlign w:val="center"/>
          </w:tcPr>
          <w:p w14:paraId="495D2373" w14:textId="5DD82A73"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23%</w:t>
            </w:r>
          </w:p>
        </w:tc>
        <w:tc>
          <w:tcPr>
            <w:tcW w:w="1259" w:type="dxa"/>
            <w:vAlign w:val="center"/>
          </w:tcPr>
          <w:p w14:paraId="646CFBB2" w14:textId="2B237164" w:rsidR="00552363" w:rsidRPr="00A52B68" w:rsidRDefault="00552363" w:rsidP="00A45F28">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26%</w:t>
            </w:r>
          </w:p>
        </w:tc>
      </w:tr>
      <w:tr w:rsidR="00552363" w:rsidRPr="00B50EE0" w14:paraId="0CB1D29A" w14:textId="77777777" w:rsidTr="00A52B68">
        <w:trPr>
          <w:trHeight w:val="360"/>
          <w:jc w:val="center"/>
        </w:trPr>
        <w:tc>
          <w:tcPr>
            <w:tcW w:w="2126" w:type="dxa"/>
            <w:shd w:val="clear" w:color="000000" w:fill="FFFFFF"/>
            <w:noWrap/>
            <w:vAlign w:val="center"/>
          </w:tcPr>
          <w:p w14:paraId="0524D30B" w14:textId="23153389" w:rsidR="00552363" w:rsidRPr="00A52B68" w:rsidRDefault="00552363" w:rsidP="002D1880">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NOPAT %</w:t>
            </w:r>
          </w:p>
        </w:tc>
        <w:tc>
          <w:tcPr>
            <w:tcW w:w="1258" w:type="dxa"/>
            <w:vAlign w:val="center"/>
          </w:tcPr>
          <w:p w14:paraId="26F9A437" w14:textId="3BF82C36"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8.</w:t>
            </w:r>
            <w:r w:rsidR="006D7572">
              <w:rPr>
                <w:rFonts w:asciiTheme="minorHAnsi" w:hAnsiTheme="minorHAnsi" w:cstheme="minorHAnsi"/>
                <w:color w:val="000000" w:themeColor="text1"/>
                <w:sz w:val="18"/>
                <w:szCs w:val="18"/>
                <w:lang w:eastAsia="en-GB"/>
              </w:rPr>
              <w:t>0</w:t>
            </w:r>
            <w:r w:rsidRPr="00A52B68">
              <w:rPr>
                <w:rFonts w:asciiTheme="minorHAnsi" w:hAnsiTheme="minorHAnsi" w:cstheme="minorHAnsi"/>
                <w:color w:val="000000" w:themeColor="text1"/>
                <w:sz w:val="18"/>
                <w:szCs w:val="18"/>
                <w:lang w:eastAsia="en-GB"/>
              </w:rPr>
              <w:t>%</w:t>
            </w:r>
          </w:p>
        </w:tc>
        <w:tc>
          <w:tcPr>
            <w:tcW w:w="1259" w:type="dxa"/>
            <w:vAlign w:val="center"/>
          </w:tcPr>
          <w:p w14:paraId="70C10258" w14:textId="3AC4D8C7"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8.</w:t>
            </w:r>
            <w:r w:rsidR="006D7572">
              <w:rPr>
                <w:rFonts w:asciiTheme="minorHAnsi" w:hAnsiTheme="minorHAnsi" w:cstheme="minorHAnsi"/>
                <w:color w:val="000000" w:themeColor="text1"/>
                <w:sz w:val="18"/>
                <w:szCs w:val="18"/>
                <w:lang w:eastAsia="en-GB"/>
              </w:rPr>
              <w:t>6</w:t>
            </w:r>
            <w:r w:rsidRPr="00A52B68">
              <w:rPr>
                <w:rFonts w:asciiTheme="minorHAnsi" w:hAnsiTheme="minorHAnsi" w:cstheme="minorHAnsi"/>
                <w:color w:val="000000" w:themeColor="text1"/>
                <w:sz w:val="18"/>
                <w:szCs w:val="18"/>
                <w:lang w:eastAsia="en-GB"/>
              </w:rPr>
              <w:t>%</w:t>
            </w:r>
          </w:p>
        </w:tc>
        <w:tc>
          <w:tcPr>
            <w:tcW w:w="1258" w:type="dxa"/>
            <w:vAlign w:val="center"/>
          </w:tcPr>
          <w:p w14:paraId="3783D066" w14:textId="2CBD16DF"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10.</w:t>
            </w:r>
            <w:r w:rsidR="002E583B">
              <w:rPr>
                <w:rFonts w:asciiTheme="minorHAnsi" w:hAnsiTheme="minorHAnsi" w:cstheme="minorHAnsi"/>
                <w:color w:val="000000" w:themeColor="text1"/>
                <w:sz w:val="18"/>
                <w:szCs w:val="18"/>
                <w:lang w:eastAsia="en-GB"/>
              </w:rPr>
              <w:t>6</w:t>
            </w:r>
            <w:r w:rsidRPr="00A52B68">
              <w:rPr>
                <w:rFonts w:asciiTheme="minorHAnsi" w:hAnsiTheme="minorHAnsi" w:cstheme="minorHAnsi"/>
                <w:color w:val="000000" w:themeColor="text1"/>
                <w:sz w:val="18"/>
                <w:szCs w:val="18"/>
                <w:lang w:eastAsia="en-GB"/>
              </w:rPr>
              <w:t>%</w:t>
            </w:r>
          </w:p>
        </w:tc>
        <w:tc>
          <w:tcPr>
            <w:tcW w:w="1259" w:type="dxa"/>
            <w:vAlign w:val="center"/>
          </w:tcPr>
          <w:p w14:paraId="6BE95464" w14:textId="6D2334E9" w:rsidR="00552363" w:rsidRPr="00A52B68" w:rsidRDefault="00552363" w:rsidP="00A45F28">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12.</w:t>
            </w:r>
            <w:r w:rsidR="002E583B">
              <w:rPr>
                <w:rFonts w:asciiTheme="minorHAnsi" w:hAnsiTheme="minorHAnsi" w:cstheme="minorHAnsi"/>
                <w:color w:val="000000" w:themeColor="text1"/>
                <w:sz w:val="18"/>
                <w:szCs w:val="18"/>
                <w:lang w:eastAsia="en-GB"/>
              </w:rPr>
              <w:t>3</w:t>
            </w:r>
            <w:r w:rsidRPr="00A52B68">
              <w:rPr>
                <w:rFonts w:asciiTheme="minorHAnsi" w:hAnsiTheme="minorHAnsi" w:cstheme="minorHAnsi"/>
                <w:color w:val="000000" w:themeColor="text1"/>
                <w:sz w:val="18"/>
                <w:szCs w:val="18"/>
                <w:lang w:eastAsia="en-GB"/>
              </w:rPr>
              <w:t>%</w:t>
            </w:r>
          </w:p>
        </w:tc>
      </w:tr>
      <w:tr w:rsidR="00552363" w:rsidRPr="00B50EE0" w14:paraId="66C32C50" w14:textId="77777777" w:rsidTr="00A52B68">
        <w:trPr>
          <w:trHeight w:val="360"/>
          <w:jc w:val="center"/>
        </w:trPr>
        <w:tc>
          <w:tcPr>
            <w:tcW w:w="2126" w:type="dxa"/>
            <w:shd w:val="clear" w:color="000000" w:fill="FFFFFF"/>
            <w:noWrap/>
            <w:vAlign w:val="center"/>
            <w:hideMark/>
          </w:tcPr>
          <w:p w14:paraId="71F028D8" w14:textId="538DCCB6" w:rsidR="00552363" w:rsidRPr="00A52B68" w:rsidRDefault="00552363" w:rsidP="002D1880">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ROE %</w:t>
            </w:r>
          </w:p>
        </w:tc>
        <w:tc>
          <w:tcPr>
            <w:tcW w:w="1258" w:type="dxa"/>
            <w:vAlign w:val="center"/>
          </w:tcPr>
          <w:p w14:paraId="560DB7B4" w14:textId="7E59B3A0"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 xml:space="preserve">2.0% </w:t>
            </w:r>
          </w:p>
        </w:tc>
        <w:tc>
          <w:tcPr>
            <w:tcW w:w="1259" w:type="dxa"/>
            <w:vAlign w:val="center"/>
          </w:tcPr>
          <w:p w14:paraId="255BD0F2" w14:textId="7AB1CEEB"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2.</w:t>
            </w:r>
            <w:r w:rsidR="002E583B">
              <w:rPr>
                <w:rFonts w:asciiTheme="minorHAnsi" w:hAnsiTheme="minorHAnsi" w:cstheme="minorHAnsi"/>
                <w:color w:val="000000" w:themeColor="text1"/>
                <w:sz w:val="18"/>
                <w:szCs w:val="18"/>
                <w:lang w:eastAsia="en-GB"/>
              </w:rPr>
              <w:t>1</w:t>
            </w:r>
            <w:r w:rsidRPr="00A52B68">
              <w:rPr>
                <w:rFonts w:asciiTheme="minorHAnsi" w:hAnsiTheme="minorHAnsi" w:cstheme="minorHAnsi"/>
                <w:color w:val="000000" w:themeColor="text1"/>
                <w:sz w:val="18"/>
                <w:szCs w:val="18"/>
                <w:lang w:eastAsia="en-GB"/>
              </w:rPr>
              <w:t>%</w:t>
            </w:r>
          </w:p>
        </w:tc>
        <w:tc>
          <w:tcPr>
            <w:tcW w:w="1258" w:type="dxa"/>
            <w:vAlign w:val="center"/>
          </w:tcPr>
          <w:p w14:paraId="4E6B8BBC" w14:textId="125C0C61"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3.</w:t>
            </w:r>
            <w:r w:rsidR="002E583B">
              <w:rPr>
                <w:rFonts w:asciiTheme="minorHAnsi" w:hAnsiTheme="minorHAnsi" w:cstheme="minorHAnsi"/>
                <w:color w:val="000000" w:themeColor="text1"/>
                <w:sz w:val="18"/>
                <w:szCs w:val="18"/>
                <w:lang w:eastAsia="en-GB"/>
              </w:rPr>
              <w:t>2</w:t>
            </w:r>
            <w:r w:rsidRPr="00A52B68">
              <w:rPr>
                <w:rFonts w:asciiTheme="minorHAnsi" w:hAnsiTheme="minorHAnsi" w:cstheme="minorHAnsi"/>
                <w:color w:val="000000" w:themeColor="text1"/>
                <w:sz w:val="18"/>
                <w:szCs w:val="18"/>
                <w:lang w:eastAsia="en-GB"/>
              </w:rPr>
              <w:t>%</w:t>
            </w:r>
          </w:p>
        </w:tc>
        <w:tc>
          <w:tcPr>
            <w:tcW w:w="1259" w:type="dxa"/>
            <w:vAlign w:val="center"/>
          </w:tcPr>
          <w:p w14:paraId="456EED34" w14:textId="0623D7DA" w:rsidR="00552363" w:rsidRPr="00A52B68" w:rsidRDefault="00552363" w:rsidP="00A45F28">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4.0%</w:t>
            </w:r>
          </w:p>
        </w:tc>
      </w:tr>
      <w:tr w:rsidR="00552363" w:rsidRPr="00B50EE0" w14:paraId="111B2415" w14:textId="77777777" w:rsidTr="00A52B68">
        <w:trPr>
          <w:trHeight w:val="360"/>
          <w:jc w:val="center"/>
        </w:trPr>
        <w:tc>
          <w:tcPr>
            <w:tcW w:w="2126" w:type="dxa"/>
            <w:shd w:val="clear" w:color="000000" w:fill="FFFFFF"/>
            <w:noWrap/>
            <w:vAlign w:val="center"/>
            <w:hideMark/>
          </w:tcPr>
          <w:p w14:paraId="6887DEBD" w14:textId="01F335BE" w:rsidR="00552363" w:rsidRPr="00A52B68" w:rsidRDefault="00552363" w:rsidP="002D1880">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ROA %</w:t>
            </w:r>
          </w:p>
        </w:tc>
        <w:tc>
          <w:tcPr>
            <w:tcW w:w="1258" w:type="dxa"/>
            <w:vAlign w:val="center"/>
          </w:tcPr>
          <w:p w14:paraId="1D17EF97" w14:textId="524CFFAE"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 xml:space="preserve">1.6% </w:t>
            </w:r>
          </w:p>
        </w:tc>
        <w:tc>
          <w:tcPr>
            <w:tcW w:w="1259" w:type="dxa"/>
            <w:vAlign w:val="center"/>
          </w:tcPr>
          <w:p w14:paraId="3F78E528" w14:textId="70539437" w:rsidR="00552363" w:rsidRPr="00A52B68" w:rsidRDefault="00552363" w:rsidP="002D1880">
            <w:pPr>
              <w:jc w:val="right"/>
              <w:rPr>
                <w:rFonts w:asciiTheme="minorHAnsi" w:hAnsiTheme="minorHAnsi" w:cstheme="minorHAnsi"/>
                <w:color w:val="FF0000"/>
                <w:sz w:val="18"/>
                <w:szCs w:val="18"/>
                <w:lang w:eastAsia="en-GB"/>
              </w:rPr>
            </w:pPr>
            <w:r w:rsidRPr="00A52B68">
              <w:rPr>
                <w:rFonts w:asciiTheme="minorHAnsi" w:hAnsiTheme="minorHAnsi" w:cstheme="minorHAnsi"/>
                <w:color w:val="000000" w:themeColor="text1"/>
                <w:sz w:val="18"/>
                <w:szCs w:val="18"/>
                <w:lang w:eastAsia="en-GB"/>
              </w:rPr>
              <w:t>1.</w:t>
            </w:r>
            <w:r w:rsidR="002E583B">
              <w:rPr>
                <w:rFonts w:asciiTheme="minorHAnsi" w:hAnsiTheme="minorHAnsi" w:cstheme="minorHAnsi"/>
                <w:color w:val="000000" w:themeColor="text1"/>
                <w:sz w:val="18"/>
                <w:szCs w:val="18"/>
                <w:lang w:eastAsia="en-GB"/>
              </w:rPr>
              <w:t>7</w:t>
            </w:r>
            <w:r w:rsidRPr="00A52B68">
              <w:rPr>
                <w:rFonts w:asciiTheme="minorHAnsi" w:hAnsiTheme="minorHAnsi" w:cstheme="minorHAnsi"/>
                <w:color w:val="000000" w:themeColor="text1"/>
                <w:sz w:val="18"/>
                <w:szCs w:val="18"/>
                <w:lang w:eastAsia="en-GB"/>
              </w:rPr>
              <w:t>%</w:t>
            </w:r>
          </w:p>
        </w:tc>
        <w:tc>
          <w:tcPr>
            <w:tcW w:w="1258" w:type="dxa"/>
            <w:vAlign w:val="center"/>
          </w:tcPr>
          <w:p w14:paraId="1BFC09F9" w14:textId="5169FDE9" w:rsidR="00552363" w:rsidRPr="00A52B68" w:rsidRDefault="00552363" w:rsidP="002D1880">
            <w:pPr>
              <w:jc w:val="right"/>
              <w:rPr>
                <w:rFonts w:asciiTheme="minorHAnsi" w:hAnsiTheme="minorHAnsi" w:cstheme="minorHAnsi"/>
                <w:color w:val="FF0000"/>
                <w:sz w:val="18"/>
                <w:szCs w:val="18"/>
                <w:lang w:eastAsia="en-GB"/>
              </w:rPr>
            </w:pPr>
            <w:r w:rsidRPr="00A52B68">
              <w:rPr>
                <w:rFonts w:asciiTheme="minorHAnsi" w:hAnsiTheme="minorHAnsi" w:cstheme="minorHAnsi"/>
                <w:color w:val="000000" w:themeColor="text1"/>
                <w:sz w:val="18"/>
                <w:szCs w:val="18"/>
                <w:lang w:eastAsia="en-GB"/>
              </w:rPr>
              <w:t>2.</w:t>
            </w:r>
            <w:r w:rsidR="002E583B">
              <w:rPr>
                <w:rFonts w:asciiTheme="minorHAnsi" w:hAnsiTheme="minorHAnsi" w:cstheme="minorHAnsi"/>
                <w:color w:val="000000" w:themeColor="text1"/>
                <w:sz w:val="18"/>
                <w:szCs w:val="18"/>
                <w:lang w:eastAsia="en-GB"/>
              </w:rPr>
              <w:t>1</w:t>
            </w:r>
            <w:r w:rsidRPr="00A52B68">
              <w:rPr>
                <w:rFonts w:asciiTheme="minorHAnsi" w:hAnsiTheme="minorHAnsi" w:cstheme="minorHAnsi"/>
                <w:color w:val="000000" w:themeColor="text1"/>
                <w:sz w:val="18"/>
                <w:szCs w:val="18"/>
                <w:lang w:eastAsia="en-GB"/>
              </w:rPr>
              <w:t>%</w:t>
            </w:r>
          </w:p>
        </w:tc>
        <w:tc>
          <w:tcPr>
            <w:tcW w:w="1259" w:type="dxa"/>
            <w:vAlign w:val="center"/>
          </w:tcPr>
          <w:p w14:paraId="3F64B158" w14:textId="281C7C4C" w:rsidR="00552363" w:rsidRPr="00A52B68" w:rsidRDefault="00552363" w:rsidP="00A45F28">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2.5%</w:t>
            </w:r>
          </w:p>
        </w:tc>
      </w:tr>
      <w:tr w:rsidR="00552363" w:rsidRPr="00B50EE0" w14:paraId="70ED2C47" w14:textId="77777777" w:rsidTr="00A52B68">
        <w:trPr>
          <w:trHeight w:val="360"/>
          <w:jc w:val="center"/>
        </w:trPr>
        <w:tc>
          <w:tcPr>
            <w:tcW w:w="2126" w:type="dxa"/>
            <w:shd w:val="clear" w:color="000000" w:fill="FFFFFF"/>
            <w:noWrap/>
            <w:vAlign w:val="center"/>
          </w:tcPr>
          <w:p w14:paraId="4C303F0C" w14:textId="0627921B" w:rsidR="00552363" w:rsidRPr="00A52B68" w:rsidRDefault="00552363" w:rsidP="002D1880">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Current Assets / Current liabilities</w:t>
            </w:r>
          </w:p>
        </w:tc>
        <w:tc>
          <w:tcPr>
            <w:tcW w:w="1258" w:type="dxa"/>
            <w:vAlign w:val="center"/>
          </w:tcPr>
          <w:p w14:paraId="0A347317" w14:textId="6A3EBE44"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w:t>
            </w:r>
            <w:r w:rsidR="002E583B">
              <w:rPr>
                <w:rFonts w:asciiTheme="minorHAnsi" w:hAnsiTheme="minorHAnsi" w:cstheme="minorHAnsi"/>
                <w:color w:val="000000" w:themeColor="text1"/>
                <w:sz w:val="18"/>
                <w:szCs w:val="18"/>
                <w:lang w:eastAsia="en-GB"/>
              </w:rPr>
              <w:t>20</w:t>
            </w:r>
            <w:r w:rsidRPr="00A52B68">
              <w:rPr>
                <w:rFonts w:asciiTheme="minorHAnsi" w:hAnsiTheme="minorHAnsi" w:cstheme="minorHAnsi"/>
                <w:color w:val="000000" w:themeColor="text1"/>
                <w:sz w:val="18"/>
                <w:szCs w:val="18"/>
                <w:lang w:eastAsia="en-GB"/>
              </w:rPr>
              <w:t xml:space="preserve"> </w:t>
            </w:r>
          </w:p>
        </w:tc>
        <w:tc>
          <w:tcPr>
            <w:tcW w:w="1259" w:type="dxa"/>
            <w:vAlign w:val="center"/>
          </w:tcPr>
          <w:p w14:paraId="71EF9050" w14:textId="041622C1"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w:t>
            </w:r>
            <w:r w:rsidR="002E583B">
              <w:rPr>
                <w:rFonts w:asciiTheme="minorHAnsi" w:hAnsiTheme="minorHAnsi" w:cstheme="minorHAnsi"/>
                <w:color w:val="000000" w:themeColor="text1"/>
                <w:sz w:val="18"/>
                <w:szCs w:val="18"/>
                <w:lang w:eastAsia="en-GB"/>
              </w:rPr>
              <w:t>60</w:t>
            </w:r>
          </w:p>
        </w:tc>
        <w:tc>
          <w:tcPr>
            <w:tcW w:w="1258" w:type="dxa"/>
            <w:vAlign w:val="center"/>
          </w:tcPr>
          <w:p w14:paraId="0E804EEB" w14:textId="73AA62F9"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1.37</w:t>
            </w:r>
          </w:p>
        </w:tc>
        <w:tc>
          <w:tcPr>
            <w:tcW w:w="1259" w:type="dxa"/>
            <w:vAlign w:val="center"/>
          </w:tcPr>
          <w:p w14:paraId="7E7F002D" w14:textId="603FF6BD" w:rsidR="00552363" w:rsidRPr="00A52B68" w:rsidRDefault="00552363" w:rsidP="00A45F28">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1.2</w:t>
            </w:r>
            <w:r w:rsidR="002E583B">
              <w:rPr>
                <w:rFonts w:asciiTheme="minorHAnsi" w:hAnsiTheme="minorHAnsi" w:cstheme="minorHAnsi"/>
                <w:color w:val="000000" w:themeColor="text1"/>
                <w:sz w:val="18"/>
                <w:szCs w:val="18"/>
                <w:lang w:eastAsia="en-GB"/>
              </w:rPr>
              <w:t>5</w:t>
            </w:r>
          </w:p>
        </w:tc>
      </w:tr>
      <w:tr w:rsidR="00552363" w:rsidRPr="00B50EE0" w14:paraId="1C187887" w14:textId="77777777" w:rsidTr="00A52B68">
        <w:trPr>
          <w:trHeight w:val="360"/>
          <w:jc w:val="center"/>
        </w:trPr>
        <w:tc>
          <w:tcPr>
            <w:tcW w:w="2126" w:type="dxa"/>
            <w:shd w:val="clear" w:color="000000" w:fill="FFFFFF"/>
            <w:noWrap/>
            <w:vAlign w:val="center"/>
          </w:tcPr>
          <w:p w14:paraId="633AE30D" w14:textId="278912D6" w:rsidR="00552363" w:rsidRPr="00A52B68" w:rsidRDefault="00552363" w:rsidP="002D1880">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Quick Ratio</w:t>
            </w:r>
          </w:p>
        </w:tc>
        <w:tc>
          <w:tcPr>
            <w:tcW w:w="1258" w:type="dxa"/>
            <w:vAlign w:val="center"/>
          </w:tcPr>
          <w:p w14:paraId="5C6A1266" w14:textId="10E9AC72"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1.0</w:t>
            </w:r>
            <w:r w:rsidR="00605514">
              <w:rPr>
                <w:rFonts w:asciiTheme="minorHAnsi" w:hAnsiTheme="minorHAnsi" w:cstheme="minorHAnsi"/>
                <w:color w:val="000000" w:themeColor="text1"/>
                <w:sz w:val="18"/>
                <w:szCs w:val="18"/>
                <w:lang w:eastAsia="en-GB"/>
              </w:rPr>
              <w:t>4</w:t>
            </w:r>
          </w:p>
        </w:tc>
        <w:tc>
          <w:tcPr>
            <w:tcW w:w="1259" w:type="dxa"/>
            <w:vAlign w:val="center"/>
          </w:tcPr>
          <w:p w14:paraId="65255578" w14:textId="6F894796"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1.3</w:t>
            </w:r>
            <w:r w:rsidR="00605514">
              <w:rPr>
                <w:rFonts w:asciiTheme="minorHAnsi" w:hAnsiTheme="minorHAnsi" w:cstheme="minorHAnsi"/>
                <w:color w:val="000000" w:themeColor="text1"/>
                <w:sz w:val="18"/>
                <w:szCs w:val="18"/>
                <w:lang w:eastAsia="en-GB"/>
              </w:rPr>
              <w:t>6</w:t>
            </w:r>
          </w:p>
        </w:tc>
        <w:tc>
          <w:tcPr>
            <w:tcW w:w="1258" w:type="dxa"/>
            <w:vAlign w:val="center"/>
          </w:tcPr>
          <w:p w14:paraId="644CBE13" w14:textId="793409F6"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1.17</w:t>
            </w:r>
          </w:p>
        </w:tc>
        <w:tc>
          <w:tcPr>
            <w:tcW w:w="1259" w:type="dxa"/>
            <w:vAlign w:val="center"/>
          </w:tcPr>
          <w:p w14:paraId="7313C628" w14:textId="10F88B19" w:rsidR="00552363" w:rsidRPr="00A52B68" w:rsidRDefault="00552363" w:rsidP="00A45F28">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1.08</w:t>
            </w:r>
          </w:p>
        </w:tc>
      </w:tr>
      <w:tr w:rsidR="00552363" w:rsidRPr="00B50EE0" w14:paraId="501672F8" w14:textId="77777777" w:rsidTr="00A52B68">
        <w:trPr>
          <w:trHeight w:val="360"/>
          <w:jc w:val="center"/>
        </w:trPr>
        <w:tc>
          <w:tcPr>
            <w:tcW w:w="2126" w:type="dxa"/>
            <w:shd w:val="clear" w:color="000000" w:fill="FFFFFF"/>
            <w:noWrap/>
            <w:vAlign w:val="center"/>
          </w:tcPr>
          <w:p w14:paraId="1975E017" w14:textId="4DE4A9D4" w:rsidR="00552363" w:rsidRPr="00A52B68" w:rsidRDefault="00552363" w:rsidP="002D1880">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Accounts Receivable Days</w:t>
            </w:r>
          </w:p>
        </w:tc>
        <w:tc>
          <w:tcPr>
            <w:tcW w:w="1258" w:type="dxa"/>
            <w:vAlign w:val="center"/>
          </w:tcPr>
          <w:p w14:paraId="6E44DC04" w14:textId="008C2BD9" w:rsidR="00552363" w:rsidRPr="00A52B68" w:rsidRDefault="00605514" w:rsidP="002D1880">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70</w:t>
            </w:r>
          </w:p>
        </w:tc>
        <w:tc>
          <w:tcPr>
            <w:tcW w:w="1259" w:type="dxa"/>
            <w:vAlign w:val="center"/>
          </w:tcPr>
          <w:p w14:paraId="5A229EB5" w14:textId="1C7ADC1B" w:rsidR="00552363" w:rsidRPr="00A52B68" w:rsidRDefault="00605514" w:rsidP="002D1880">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70</w:t>
            </w:r>
          </w:p>
        </w:tc>
        <w:tc>
          <w:tcPr>
            <w:tcW w:w="1258" w:type="dxa"/>
            <w:vAlign w:val="center"/>
          </w:tcPr>
          <w:p w14:paraId="7D2F631C" w14:textId="58664808"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91</w:t>
            </w:r>
          </w:p>
        </w:tc>
        <w:tc>
          <w:tcPr>
            <w:tcW w:w="1259" w:type="dxa"/>
            <w:vAlign w:val="center"/>
          </w:tcPr>
          <w:p w14:paraId="7132918F" w14:textId="305ABB19" w:rsidR="00552363" w:rsidRPr="00A52B68" w:rsidRDefault="00552363" w:rsidP="00A45F28">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8</w:t>
            </w:r>
            <w:r w:rsidR="00605514">
              <w:rPr>
                <w:rFonts w:asciiTheme="minorHAnsi" w:hAnsiTheme="minorHAnsi" w:cstheme="minorHAnsi"/>
                <w:color w:val="000000" w:themeColor="text1"/>
                <w:sz w:val="18"/>
                <w:szCs w:val="18"/>
                <w:lang w:eastAsia="en-GB"/>
              </w:rPr>
              <w:t>3</w:t>
            </w:r>
          </w:p>
        </w:tc>
      </w:tr>
      <w:tr w:rsidR="00552363" w:rsidRPr="00B50EE0" w14:paraId="353428E5" w14:textId="77777777" w:rsidTr="00A52B68">
        <w:trPr>
          <w:trHeight w:val="360"/>
          <w:jc w:val="center"/>
        </w:trPr>
        <w:tc>
          <w:tcPr>
            <w:tcW w:w="2126" w:type="dxa"/>
            <w:shd w:val="clear" w:color="000000" w:fill="FFFFFF"/>
            <w:noWrap/>
            <w:vAlign w:val="center"/>
          </w:tcPr>
          <w:p w14:paraId="2AD06649" w14:textId="136B0E86" w:rsidR="00552363" w:rsidRPr="00A52B68" w:rsidRDefault="00552363" w:rsidP="002D1880">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Assets Turnover</w:t>
            </w:r>
          </w:p>
        </w:tc>
        <w:tc>
          <w:tcPr>
            <w:tcW w:w="1258" w:type="dxa"/>
            <w:vAlign w:val="center"/>
          </w:tcPr>
          <w:p w14:paraId="0021689D" w14:textId="23C87168"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0.2</w:t>
            </w:r>
            <w:r w:rsidR="00605514">
              <w:rPr>
                <w:rFonts w:asciiTheme="minorHAnsi" w:hAnsiTheme="minorHAnsi" w:cstheme="minorHAnsi"/>
                <w:color w:val="000000" w:themeColor="text1"/>
                <w:sz w:val="18"/>
                <w:szCs w:val="18"/>
                <w:lang w:eastAsia="en-GB"/>
              </w:rPr>
              <w:t>0</w:t>
            </w:r>
          </w:p>
        </w:tc>
        <w:tc>
          <w:tcPr>
            <w:tcW w:w="1259" w:type="dxa"/>
            <w:vAlign w:val="center"/>
          </w:tcPr>
          <w:p w14:paraId="17F0CE66" w14:textId="30A91B70"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0.19</w:t>
            </w:r>
          </w:p>
        </w:tc>
        <w:tc>
          <w:tcPr>
            <w:tcW w:w="1258" w:type="dxa"/>
            <w:vAlign w:val="center"/>
          </w:tcPr>
          <w:p w14:paraId="0C2ACFCD" w14:textId="5BB37144"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0.</w:t>
            </w:r>
            <w:r w:rsidR="00605514">
              <w:rPr>
                <w:rFonts w:asciiTheme="minorHAnsi" w:hAnsiTheme="minorHAnsi" w:cstheme="minorHAnsi"/>
                <w:color w:val="000000" w:themeColor="text1"/>
                <w:sz w:val="18"/>
                <w:szCs w:val="18"/>
                <w:lang w:eastAsia="en-GB"/>
              </w:rPr>
              <w:t>19</w:t>
            </w:r>
          </w:p>
        </w:tc>
        <w:tc>
          <w:tcPr>
            <w:tcW w:w="1259" w:type="dxa"/>
            <w:vAlign w:val="center"/>
          </w:tcPr>
          <w:p w14:paraId="77B21899" w14:textId="0E0D3508" w:rsidR="00552363" w:rsidRPr="00A52B68" w:rsidRDefault="00552363" w:rsidP="00A45F28">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0.</w:t>
            </w:r>
            <w:r w:rsidR="00605514">
              <w:rPr>
                <w:rFonts w:asciiTheme="minorHAnsi" w:hAnsiTheme="minorHAnsi" w:cstheme="minorHAnsi"/>
                <w:color w:val="000000" w:themeColor="text1"/>
                <w:sz w:val="18"/>
                <w:szCs w:val="18"/>
                <w:lang w:eastAsia="en-GB"/>
              </w:rPr>
              <w:t>20</w:t>
            </w:r>
          </w:p>
        </w:tc>
      </w:tr>
      <w:tr w:rsidR="00552363" w:rsidRPr="00B50EE0" w14:paraId="31F2B3DE" w14:textId="77777777" w:rsidTr="00A52B68">
        <w:trPr>
          <w:trHeight w:val="360"/>
          <w:jc w:val="center"/>
        </w:trPr>
        <w:tc>
          <w:tcPr>
            <w:tcW w:w="2126" w:type="dxa"/>
            <w:shd w:val="clear" w:color="000000" w:fill="FFFFFF"/>
            <w:noWrap/>
            <w:vAlign w:val="center"/>
            <w:hideMark/>
          </w:tcPr>
          <w:p w14:paraId="5943E935" w14:textId="58C4631F" w:rsidR="00552363" w:rsidRPr="00A52B68" w:rsidRDefault="00552363" w:rsidP="002D1880">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Debt / Equity Ratio</w:t>
            </w:r>
          </w:p>
        </w:tc>
        <w:tc>
          <w:tcPr>
            <w:tcW w:w="1258" w:type="dxa"/>
            <w:vAlign w:val="center"/>
          </w:tcPr>
          <w:p w14:paraId="32BA5AD8" w14:textId="2BB81E51" w:rsidR="00552363" w:rsidRPr="00A52B68" w:rsidRDefault="00552363" w:rsidP="002D1880">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0.1</w:t>
            </w:r>
            <w:r w:rsidR="00605514">
              <w:rPr>
                <w:rFonts w:asciiTheme="minorHAnsi" w:hAnsiTheme="minorHAnsi" w:cstheme="minorHAnsi"/>
                <w:color w:val="000000" w:themeColor="text1"/>
                <w:sz w:val="18"/>
                <w:szCs w:val="18"/>
                <w:lang w:eastAsia="en-GB"/>
              </w:rPr>
              <w:t>3</w:t>
            </w:r>
            <w:r w:rsidRPr="00A52B68">
              <w:rPr>
                <w:rFonts w:asciiTheme="minorHAnsi" w:hAnsiTheme="minorHAnsi" w:cstheme="minorHAnsi"/>
                <w:color w:val="000000" w:themeColor="text1"/>
                <w:sz w:val="18"/>
                <w:szCs w:val="18"/>
                <w:lang w:eastAsia="en-GB"/>
              </w:rPr>
              <w:t xml:space="preserve"> </w:t>
            </w:r>
          </w:p>
        </w:tc>
        <w:tc>
          <w:tcPr>
            <w:tcW w:w="1259" w:type="dxa"/>
            <w:vAlign w:val="center"/>
          </w:tcPr>
          <w:p w14:paraId="1D567D35" w14:textId="1D985123" w:rsidR="00552363" w:rsidRPr="00A52B68" w:rsidRDefault="00552363" w:rsidP="002D1880">
            <w:pPr>
              <w:jc w:val="right"/>
              <w:rPr>
                <w:rFonts w:asciiTheme="minorHAnsi" w:hAnsiTheme="minorHAnsi" w:cstheme="minorHAnsi"/>
                <w:color w:val="FF0000"/>
                <w:sz w:val="18"/>
                <w:szCs w:val="18"/>
                <w:lang w:eastAsia="en-GB"/>
              </w:rPr>
            </w:pPr>
            <w:r w:rsidRPr="00A52B68">
              <w:rPr>
                <w:rFonts w:asciiTheme="minorHAnsi" w:hAnsiTheme="minorHAnsi" w:cstheme="minorHAnsi"/>
                <w:color w:val="000000" w:themeColor="text1"/>
                <w:sz w:val="18"/>
                <w:szCs w:val="18"/>
                <w:lang w:eastAsia="en-GB"/>
              </w:rPr>
              <w:t>0.17</w:t>
            </w:r>
          </w:p>
        </w:tc>
        <w:tc>
          <w:tcPr>
            <w:tcW w:w="1258" w:type="dxa"/>
            <w:vAlign w:val="center"/>
          </w:tcPr>
          <w:p w14:paraId="1A0E23C3" w14:textId="6D5D9742" w:rsidR="00552363" w:rsidRPr="00A52B68" w:rsidRDefault="00552363" w:rsidP="002D1880">
            <w:pPr>
              <w:jc w:val="right"/>
              <w:rPr>
                <w:rFonts w:asciiTheme="minorHAnsi" w:hAnsiTheme="minorHAnsi" w:cstheme="minorHAnsi"/>
                <w:color w:val="FF0000"/>
                <w:sz w:val="18"/>
                <w:szCs w:val="18"/>
                <w:lang w:eastAsia="en-GB"/>
              </w:rPr>
            </w:pPr>
            <w:r w:rsidRPr="00A52B68">
              <w:rPr>
                <w:rFonts w:asciiTheme="minorHAnsi" w:hAnsiTheme="minorHAnsi" w:cstheme="minorHAnsi"/>
                <w:color w:val="000000" w:themeColor="text1"/>
                <w:sz w:val="18"/>
                <w:szCs w:val="18"/>
                <w:lang w:eastAsia="en-GB"/>
              </w:rPr>
              <w:t>0.24</w:t>
            </w:r>
          </w:p>
        </w:tc>
        <w:tc>
          <w:tcPr>
            <w:tcW w:w="1259" w:type="dxa"/>
            <w:vAlign w:val="center"/>
          </w:tcPr>
          <w:p w14:paraId="2B1DFFE7" w14:textId="53A8EF73" w:rsidR="00552363" w:rsidRPr="00A52B68" w:rsidRDefault="00552363" w:rsidP="00A45F28">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0.31</w:t>
            </w:r>
          </w:p>
        </w:tc>
      </w:tr>
    </w:tbl>
    <w:p w14:paraId="6FA660CE" w14:textId="15DA8F22" w:rsidR="00B31B35" w:rsidRPr="00D25BE7" w:rsidRDefault="00A516B5" w:rsidP="001D24F1">
      <w:pPr>
        <w:rPr>
          <w:rFonts w:asciiTheme="minorHAnsi" w:hAnsiTheme="minorHAnsi"/>
          <w:color w:val="000000" w:themeColor="text1"/>
          <w:lang w:val="en-GB"/>
        </w:rPr>
      </w:pPr>
      <w:r w:rsidRPr="00D25BE7">
        <w:rPr>
          <w:rFonts w:asciiTheme="minorHAnsi" w:hAnsiTheme="minorHAnsi"/>
        </w:rPr>
        <w:t xml:space="preserve"> </w:t>
      </w:r>
    </w:p>
    <w:p w14:paraId="54F55B86" w14:textId="518DC69A" w:rsidR="00A516B5" w:rsidRPr="00A11CEC" w:rsidRDefault="00131A20" w:rsidP="009A4F70">
      <w:pPr>
        <w:pStyle w:val="ListParagraph"/>
        <w:ind w:left="426" w:hanging="426"/>
        <w:rPr>
          <w:rFonts w:asciiTheme="minorHAnsi" w:hAnsiTheme="minorHAnsi"/>
          <w:color w:val="000000" w:themeColor="text1"/>
          <w:lang w:val="en-GB"/>
        </w:rPr>
      </w:pPr>
      <w:r>
        <w:rPr>
          <w:rFonts w:asciiTheme="minorHAnsi" w:hAnsiTheme="minorHAnsi"/>
          <w:color w:val="000000" w:themeColor="text1"/>
          <w:lang w:val="en-GB"/>
        </w:rPr>
        <w:t xml:space="preserve">Although overall performance has improved </w:t>
      </w:r>
      <w:r w:rsidR="001D24F1" w:rsidRPr="00D25BE7">
        <w:rPr>
          <w:rFonts w:asciiTheme="minorHAnsi" w:hAnsiTheme="minorHAnsi"/>
          <w:color w:val="000000" w:themeColor="text1"/>
          <w:lang w:val="en-GB"/>
        </w:rPr>
        <w:t>LNDC and WASCO ha</w:t>
      </w:r>
      <w:r w:rsidR="000714FB" w:rsidRPr="00D25BE7">
        <w:rPr>
          <w:rFonts w:asciiTheme="minorHAnsi" w:hAnsiTheme="minorHAnsi"/>
          <w:color w:val="000000" w:themeColor="text1"/>
          <w:lang w:val="en-GB"/>
        </w:rPr>
        <w:t xml:space="preserve">ve taken on more debt since FY’15 and there </w:t>
      </w:r>
      <w:r w:rsidR="00400613" w:rsidRPr="00D25BE7">
        <w:rPr>
          <w:rFonts w:asciiTheme="minorHAnsi" w:hAnsiTheme="minorHAnsi"/>
          <w:color w:val="000000" w:themeColor="text1"/>
          <w:lang w:val="en-GB"/>
        </w:rPr>
        <w:t>are</w:t>
      </w:r>
      <w:r w:rsidR="000714FB" w:rsidRPr="00D25BE7">
        <w:rPr>
          <w:rFonts w:asciiTheme="minorHAnsi" w:hAnsiTheme="minorHAnsi"/>
          <w:color w:val="000000" w:themeColor="text1"/>
          <w:lang w:val="en-GB"/>
        </w:rPr>
        <w:t xml:space="preserve"> some </w:t>
      </w:r>
      <w:r w:rsidR="001D24F1" w:rsidRPr="00D25BE7">
        <w:rPr>
          <w:rFonts w:asciiTheme="minorHAnsi" w:hAnsiTheme="minorHAnsi"/>
          <w:color w:val="000000" w:themeColor="text1"/>
          <w:lang w:val="en-GB"/>
        </w:rPr>
        <w:t xml:space="preserve">arrears </w:t>
      </w:r>
      <w:r w:rsidR="001D24F1" w:rsidRPr="00D25BE7">
        <w:rPr>
          <w:rFonts w:asciiTheme="minorHAnsi" w:hAnsiTheme="minorHAnsi"/>
          <w:color w:val="000000" w:themeColor="text1"/>
        </w:rPr>
        <w:t xml:space="preserve">on loan repayments to Government and to international creditors </w:t>
      </w:r>
      <w:r w:rsidR="00400613" w:rsidRPr="00D25BE7">
        <w:rPr>
          <w:rFonts w:asciiTheme="minorHAnsi" w:hAnsiTheme="minorHAnsi"/>
          <w:color w:val="000000" w:themeColor="text1"/>
        </w:rPr>
        <w:t>that</w:t>
      </w:r>
      <w:r w:rsidR="001D24F1" w:rsidRPr="00D25BE7">
        <w:rPr>
          <w:rFonts w:asciiTheme="minorHAnsi" w:hAnsiTheme="minorHAnsi"/>
          <w:color w:val="000000" w:themeColor="text1"/>
        </w:rPr>
        <w:t xml:space="preserve"> have required Government financial assistance.</w:t>
      </w:r>
      <w:r w:rsidR="00400613" w:rsidRPr="00D25BE7">
        <w:rPr>
          <w:rFonts w:asciiTheme="minorHAnsi" w:hAnsiTheme="minorHAnsi"/>
          <w:color w:val="000000" w:themeColor="text1"/>
        </w:rPr>
        <w:t xml:space="preserve"> </w:t>
      </w:r>
      <w:r w:rsidR="00E720A0" w:rsidRPr="00D25BE7">
        <w:rPr>
          <w:rFonts w:asciiTheme="minorHAnsi" w:hAnsiTheme="minorHAnsi"/>
          <w:color w:val="000000" w:themeColor="text1"/>
        </w:rPr>
        <w:t>That said, the overall debt/equity ratio remains low and inability to repay is</w:t>
      </w:r>
      <w:r>
        <w:rPr>
          <w:rFonts w:asciiTheme="minorHAnsi" w:hAnsiTheme="minorHAnsi"/>
          <w:color w:val="000000" w:themeColor="text1"/>
        </w:rPr>
        <w:t xml:space="preserve"> therefore</w:t>
      </w:r>
      <w:r w:rsidR="00E720A0" w:rsidRPr="00D25BE7">
        <w:rPr>
          <w:rFonts w:asciiTheme="minorHAnsi" w:hAnsiTheme="minorHAnsi"/>
          <w:color w:val="000000" w:themeColor="text1"/>
        </w:rPr>
        <w:t xml:space="preserve"> worrying. </w:t>
      </w:r>
      <w:r w:rsidR="00400613" w:rsidRPr="00D25BE7">
        <w:rPr>
          <w:rFonts w:asciiTheme="minorHAnsi" w:hAnsiTheme="minorHAnsi"/>
          <w:color w:val="000000" w:themeColor="text1"/>
        </w:rPr>
        <w:t>Collections of receivables have deteriorated in the recent fiscal year.</w:t>
      </w:r>
    </w:p>
    <w:p w14:paraId="497C3111" w14:textId="53DF47F6" w:rsidR="00131A20" w:rsidRPr="00A52B68" w:rsidRDefault="00131A20" w:rsidP="009A4F70">
      <w:pPr>
        <w:pStyle w:val="ListParagraph"/>
        <w:ind w:left="426" w:hanging="426"/>
        <w:rPr>
          <w:rFonts w:asciiTheme="minorHAnsi" w:hAnsiTheme="minorHAnsi"/>
          <w:b/>
          <w:color w:val="000000" w:themeColor="text1"/>
          <w:lang w:val="en-GB"/>
        </w:rPr>
      </w:pPr>
      <w:r w:rsidRPr="00A52B68">
        <w:rPr>
          <w:rFonts w:asciiTheme="minorHAnsi" w:hAnsiTheme="minorHAnsi"/>
          <w:b/>
          <w:color w:val="000000" w:themeColor="text1"/>
          <w:lang w:val="en-GB"/>
        </w:rPr>
        <w:t>Figure 6</w:t>
      </w:r>
      <w:r w:rsidR="00A11CEC" w:rsidRPr="00A52B68">
        <w:rPr>
          <w:rFonts w:asciiTheme="minorHAnsi" w:hAnsiTheme="minorHAnsi"/>
          <w:b/>
          <w:color w:val="000000" w:themeColor="text1"/>
          <w:lang w:val="en-GB"/>
        </w:rPr>
        <w:t>. 100% SOE Returns</w:t>
      </w:r>
    </w:p>
    <w:p w14:paraId="08FE2AE4" w14:textId="4B54C60C" w:rsidR="009C433E" w:rsidRDefault="008B0D5D" w:rsidP="009C433E">
      <w:pPr>
        <w:rPr>
          <w:rFonts w:asciiTheme="minorHAnsi" w:hAnsiTheme="minorHAnsi"/>
          <w:color w:val="000000" w:themeColor="text1"/>
          <w:lang w:val="en-GB"/>
        </w:rPr>
      </w:pPr>
      <w:r>
        <w:rPr>
          <w:noProof/>
        </w:rPr>
        <w:drawing>
          <wp:inline distT="0" distB="0" distL="0" distR="0" wp14:anchorId="0FD3CF52" wp14:editId="518D2F1F">
            <wp:extent cx="4797425" cy="2979420"/>
            <wp:effectExtent l="25400" t="25400" r="104775" b="9398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5BD8B8B" w14:textId="77777777" w:rsidR="00A669C5" w:rsidRPr="00D8583C" w:rsidRDefault="00A669C5" w:rsidP="00A52B68">
      <w:pPr>
        <w:ind w:firstLine="426"/>
        <w:rPr>
          <w:rFonts w:asciiTheme="minorHAnsi" w:hAnsiTheme="minorHAnsi"/>
          <w:i/>
          <w:sz w:val="20"/>
          <w:lang w:val="en-GB"/>
        </w:rPr>
      </w:pPr>
      <w:r w:rsidRPr="00D8583C">
        <w:rPr>
          <w:rFonts w:asciiTheme="minorHAnsi" w:hAnsiTheme="minorHAnsi"/>
          <w:i/>
          <w:sz w:val="20"/>
          <w:lang w:val="en-GB"/>
        </w:rPr>
        <w:t>Source: SOE AFS Various Years</w:t>
      </w:r>
    </w:p>
    <w:p w14:paraId="22A6B54E" w14:textId="77777777" w:rsidR="00A669C5" w:rsidRDefault="00A669C5" w:rsidP="009C433E">
      <w:pPr>
        <w:rPr>
          <w:rFonts w:asciiTheme="minorHAnsi" w:hAnsiTheme="minorHAnsi"/>
          <w:color w:val="000000" w:themeColor="text1"/>
          <w:lang w:val="en-GB"/>
        </w:rPr>
      </w:pPr>
    </w:p>
    <w:p w14:paraId="7086281B" w14:textId="77777777" w:rsidR="00A669C5" w:rsidRDefault="00A669C5" w:rsidP="009C433E">
      <w:pPr>
        <w:rPr>
          <w:rFonts w:asciiTheme="minorHAnsi" w:hAnsiTheme="minorHAnsi"/>
          <w:color w:val="000000" w:themeColor="text1"/>
          <w:lang w:val="en-GB"/>
        </w:rPr>
      </w:pPr>
    </w:p>
    <w:p w14:paraId="02A70469" w14:textId="219714E5" w:rsidR="00030BA0" w:rsidRPr="00A52B68" w:rsidRDefault="00030BA0" w:rsidP="00A52B68">
      <w:pPr>
        <w:pStyle w:val="ListParagraph"/>
        <w:ind w:left="426" w:hanging="426"/>
        <w:rPr>
          <w:rFonts w:asciiTheme="minorHAnsi" w:hAnsiTheme="minorHAnsi"/>
          <w:color w:val="000000" w:themeColor="text1"/>
          <w:lang w:val="en-GB"/>
        </w:rPr>
      </w:pPr>
      <w:r w:rsidRPr="00D25BE7">
        <w:rPr>
          <w:rFonts w:asciiTheme="minorHAnsi" w:hAnsiTheme="minorHAnsi"/>
          <w:lang w:val="en-GB"/>
        </w:rPr>
        <w:t>Among SOEs with 100% Government ownership it can be seen that returns have improved in recent years with a continuation of revenue and profit growth.</w:t>
      </w:r>
    </w:p>
    <w:p w14:paraId="5C60D47C" w14:textId="77777777" w:rsidR="00030BA0" w:rsidRPr="00D25BE7" w:rsidRDefault="00030BA0" w:rsidP="009C433E">
      <w:pPr>
        <w:rPr>
          <w:rFonts w:asciiTheme="minorHAnsi" w:hAnsiTheme="minorHAnsi"/>
          <w:color w:val="000000" w:themeColor="text1"/>
          <w:lang w:val="en-GB"/>
        </w:rPr>
      </w:pPr>
    </w:p>
    <w:p w14:paraId="051BF1B1" w14:textId="28424F96" w:rsidR="009C433E" w:rsidRPr="00D25BE7" w:rsidRDefault="0050118F" w:rsidP="009C433E">
      <w:pPr>
        <w:pStyle w:val="Heading1"/>
        <w:rPr>
          <w:rFonts w:asciiTheme="minorHAnsi" w:hAnsiTheme="minorHAnsi"/>
        </w:rPr>
      </w:pPr>
      <w:bookmarkStart w:id="12" w:name="_Toc455467802"/>
      <w:r w:rsidRPr="00D25BE7">
        <w:rPr>
          <w:rFonts w:asciiTheme="minorHAnsi" w:hAnsiTheme="minorHAnsi"/>
        </w:rPr>
        <w:lastRenderedPageBreak/>
        <w:t>SOES UNDER LNDC WITH</w:t>
      </w:r>
      <w:r w:rsidR="005E0E2C" w:rsidRPr="00D25BE7">
        <w:rPr>
          <w:rFonts w:asciiTheme="minorHAnsi" w:hAnsiTheme="minorHAnsi"/>
        </w:rPr>
        <w:t xml:space="preserve"> </w:t>
      </w:r>
      <w:r w:rsidRPr="00D25BE7">
        <w:rPr>
          <w:rFonts w:asciiTheme="minorHAnsi" w:hAnsiTheme="minorHAnsi"/>
        </w:rPr>
        <w:t>OVERALL GOVERNMENT CONTROL</w:t>
      </w:r>
      <w:bookmarkEnd w:id="12"/>
      <w:r w:rsidRPr="00D25BE7">
        <w:rPr>
          <w:rFonts w:asciiTheme="minorHAnsi" w:hAnsiTheme="minorHAnsi"/>
        </w:rPr>
        <w:t xml:space="preserve"> </w:t>
      </w:r>
    </w:p>
    <w:p w14:paraId="7AC4165F" w14:textId="17408E74" w:rsidR="00E72B95" w:rsidRPr="00A52B68" w:rsidRDefault="000F7699" w:rsidP="00DA7BD6">
      <w:pPr>
        <w:rPr>
          <w:rFonts w:asciiTheme="minorHAnsi" w:hAnsiTheme="minorHAnsi"/>
          <w:b/>
        </w:rPr>
      </w:pPr>
      <w:r w:rsidRPr="00A52B68">
        <w:rPr>
          <w:rFonts w:asciiTheme="minorHAnsi" w:hAnsiTheme="minorHAnsi"/>
          <w:b/>
        </w:rPr>
        <w:t>Table 4: Total Revenue of  &lt;100% SOEs but</w:t>
      </w:r>
      <w:r w:rsidR="004A1D5F">
        <w:rPr>
          <w:rFonts w:asciiTheme="minorHAnsi" w:hAnsiTheme="minorHAnsi"/>
          <w:b/>
        </w:rPr>
        <w:t xml:space="preserve"> with Overall GoL </w:t>
      </w:r>
      <w:r w:rsidRPr="00A52B68">
        <w:rPr>
          <w:rFonts w:asciiTheme="minorHAnsi" w:hAnsiTheme="minorHAnsi"/>
          <w:b/>
        </w:rPr>
        <w:t>Control</w:t>
      </w:r>
    </w:p>
    <w:p w14:paraId="21A82A39" w14:textId="77777777" w:rsidR="000F7699" w:rsidRPr="00D25BE7" w:rsidRDefault="000F7699" w:rsidP="00DA7BD6">
      <w:pPr>
        <w:rPr>
          <w:rFonts w:asciiTheme="minorHAnsi" w:hAnsiTheme="minorHAnsi"/>
        </w:rPr>
      </w:pPr>
    </w:p>
    <w:tbl>
      <w:tblPr>
        <w:tblStyle w:val="TableGrid"/>
        <w:tblW w:w="0" w:type="auto"/>
        <w:jc w:val="center"/>
        <w:tblLook w:val="04A0" w:firstRow="1" w:lastRow="0" w:firstColumn="1" w:lastColumn="0" w:noHBand="0" w:noVBand="1"/>
      </w:tblPr>
      <w:tblGrid>
        <w:gridCol w:w="1451"/>
        <w:gridCol w:w="765"/>
        <w:gridCol w:w="765"/>
        <w:gridCol w:w="765"/>
        <w:gridCol w:w="765"/>
        <w:gridCol w:w="765"/>
        <w:gridCol w:w="765"/>
        <w:gridCol w:w="765"/>
        <w:gridCol w:w="765"/>
        <w:gridCol w:w="765"/>
      </w:tblGrid>
      <w:tr w:rsidR="00E72B95" w:rsidRPr="00C17BD1" w14:paraId="39003935" w14:textId="77777777" w:rsidTr="00A52B68">
        <w:trPr>
          <w:jc w:val="center"/>
        </w:trPr>
        <w:tc>
          <w:tcPr>
            <w:tcW w:w="1451" w:type="dxa"/>
            <w:vAlign w:val="center"/>
          </w:tcPr>
          <w:p w14:paraId="4AED206F" w14:textId="77777777" w:rsidR="00E72B95" w:rsidRPr="00A52B68" w:rsidRDefault="00E72B95" w:rsidP="000232EB">
            <w:pPr>
              <w:keepNext/>
              <w:keepLines/>
              <w:spacing w:before="40" w:after="40" w:line="276" w:lineRule="auto"/>
              <w:jc w:val="left"/>
              <w:rPr>
                <w:rFonts w:asciiTheme="minorHAnsi" w:hAnsiTheme="minorHAnsi" w:cs="Arial"/>
                <w:sz w:val="18"/>
                <w:szCs w:val="18"/>
                <w:lang w:val="en-GB"/>
              </w:rPr>
            </w:pPr>
          </w:p>
        </w:tc>
        <w:tc>
          <w:tcPr>
            <w:tcW w:w="765" w:type="dxa"/>
            <w:vAlign w:val="center"/>
          </w:tcPr>
          <w:p w14:paraId="06022010" w14:textId="77777777" w:rsidR="00E72B95" w:rsidRPr="00A52B68" w:rsidRDefault="00E72B95" w:rsidP="000232EB">
            <w:pPr>
              <w:spacing w:before="40" w:after="40"/>
              <w:jc w:val="center"/>
              <w:rPr>
                <w:rFonts w:asciiTheme="minorHAnsi" w:hAnsiTheme="minorHAnsi" w:cs="Arial"/>
                <w:b/>
                <w:sz w:val="18"/>
                <w:szCs w:val="18"/>
                <w:lang w:val="en-GB"/>
              </w:rPr>
            </w:pPr>
            <w:r w:rsidRPr="00A52B68">
              <w:rPr>
                <w:rFonts w:asciiTheme="minorHAnsi" w:hAnsiTheme="minorHAnsi" w:cs="Arial"/>
                <w:b/>
                <w:sz w:val="18"/>
                <w:szCs w:val="18"/>
                <w:lang w:val="en-GB"/>
              </w:rPr>
              <w:t>2009</w:t>
            </w:r>
          </w:p>
        </w:tc>
        <w:tc>
          <w:tcPr>
            <w:tcW w:w="765" w:type="dxa"/>
            <w:vAlign w:val="center"/>
          </w:tcPr>
          <w:p w14:paraId="1A94C235" w14:textId="77777777" w:rsidR="00E72B95" w:rsidRPr="00A52B68" w:rsidRDefault="00E72B95" w:rsidP="000232EB">
            <w:pPr>
              <w:spacing w:before="40" w:after="40"/>
              <w:jc w:val="center"/>
              <w:rPr>
                <w:rFonts w:asciiTheme="minorHAnsi" w:hAnsiTheme="minorHAnsi" w:cs="Arial"/>
                <w:b/>
                <w:sz w:val="18"/>
                <w:szCs w:val="18"/>
                <w:lang w:val="en-GB"/>
              </w:rPr>
            </w:pPr>
            <w:r w:rsidRPr="00A52B68">
              <w:rPr>
                <w:rFonts w:asciiTheme="minorHAnsi" w:hAnsiTheme="minorHAnsi" w:cs="Arial"/>
                <w:b/>
                <w:sz w:val="18"/>
                <w:szCs w:val="18"/>
                <w:lang w:val="en-GB"/>
              </w:rPr>
              <w:t>2010</w:t>
            </w:r>
          </w:p>
        </w:tc>
        <w:tc>
          <w:tcPr>
            <w:tcW w:w="765" w:type="dxa"/>
            <w:vAlign w:val="center"/>
          </w:tcPr>
          <w:p w14:paraId="57EB2E2A" w14:textId="77777777" w:rsidR="00E72B95" w:rsidRPr="00A52B68" w:rsidRDefault="00E72B95" w:rsidP="000232EB">
            <w:pPr>
              <w:tabs>
                <w:tab w:val="center" w:pos="4320"/>
                <w:tab w:val="right" w:pos="8640"/>
              </w:tabs>
              <w:spacing w:before="40" w:after="40"/>
              <w:jc w:val="center"/>
              <w:rPr>
                <w:rFonts w:asciiTheme="minorHAnsi" w:hAnsiTheme="minorHAnsi" w:cs="Arial"/>
                <w:b/>
                <w:sz w:val="18"/>
                <w:szCs w:val="18"/>
                <w:lang w:val="en-GB"/>
              </w:rPr>
            </w:pPr>
            <w:r w:rsidRPr="00A52B68">
              <w:rPr>
                <w:rFonts w:asciiTheme="minorHAnsi" w:hAnsiTheme="minorHAnsi" w:cs="Arial"/>
                <w:b/>
                <w:sz w:val="18"/>
                <w:szCs w:val="18"/>
                <w:lang w:val="en-GB"/>
              </w:rPr>
              <w:t>2011</w:t>
            </w:r>
          </w:p>
        </w:tc>
        <w:tc>
          <w:tcPr>
            <w:tcW w:w="765" w:type="dxa"/>
            <w:vAlign w:val="center"/>
          </w:tcPr>
          <w:p w14:paraId="7456E2F6" w14:textId="77777777" w:rsidR="00E72B95" w:rsidRPr="00A52B68" w:rsidRDefault="00E72B95" w:rsidP="000232EB">
            <w:pPr>
              <w:tabs>
                <w:tab w:val="center" w:pos="4320"/>
                <w:tab w:val="right" w:pos="8640"/>
              </w:tabs>
              <w:spacing w:before="40" w:after="40"/>
              <w:jc w:val="center"/>
              <w:rPr>
                <w:rFonts w:asciiTheme="minorHAnsi" w:hAnsiTheme="minorHAnsi" w:cs="Arial"/>
                <w:b/>
                <w:sz w:val="18"/>
                <w:szCs w:val="18"/>
                <w:lang w:val="en-GB"/>
              </w:rPr>
            </w:pPr>
            <w:r w:rsidRPr="00A52B68">
              <w:rPr>
                <w:rFonts w:asciiTheme="minorHAnsi" w:hAnsiTheme="minorHAnsi" w:cs="Arial"/>
                <w:b/>
                <w:sz w:val="18"/>
                <w:szCs w:val="18"/>
                <w:lang w:val="en-GB"/>
              </w:rPr>
              <w:t>2012</w:t>
            </w:r>
          </w:p>
        </w:tc>
        <w:tc>
          <w:tcPr>
            <w:tcW w:w="765" w:type="dxa"/>
            <w:vAlign w:val="center"/>
          </w:tcPr>
          <w:p w14:paraId="444DF22D" w14:textId="77777777" w:rsidR="00E72B95" w:rsidRPr="00A52B68" w:rsidRDefault="00E72B95" w:rsidP="000232EB">
            <w:pPr>
              <w:tabs>
                <w:tab w:val="center" w:pos="4320"/>
                <w:tab w:val="right" w:pos="8640"/>
              </w:tabs>
              <w:spacing w:before="40" w:after="40"/>
              <w:jc w:val="center"/>
              <w:rPr>
                <w:rFonts w:asciiTheme="minorHAnsi" w:hAnsiTheme="minorHAnsi" w:cs="Arial"/>
                <w:b/>
                <w:sz w:val="18"/>
                <w:szCs w:val="18"/>
                <w:lang w:val="en-GB"/>
              </w:rPr>
            </w:pPr>
            <w:r w:rsidRPr="00A52B68">
              <w:rPr>
                <w:rFonts w:asciiTheme="minorHAnsi" w:hAnsiTheme="minorHAnsi" w:cs="Arial"/>
                <w:b/>
                <w:sz w:val="18"/>
                <w:szCs w:val="18"/>
                <w:lang w:val="en-GB"/>
              </w:rPr>
              <w:t>2013</w:t>
            </w:r>
          </w:p>
        </w:tc>
        <w:tc>
          <w:tcPr>
            <w:tcW w:w="765" w:type="dxa"/>
            <w:vAlign w:val="center"/>
          </w:tcPr>
          <w:p w14:paraId="7D507718" w14:textId="77777777" w:rsidR="00E72B95" w:rsidRPr="00A52B68" w:rsidRDefault="00E72B95" w:rsidP="000232EB">
            <w:pPr>
              <w:tabs>
                <w:tab w:val="center" w:pos="4320"/>
                <w:tab w:val="right" w:pos="8640"/>
              </w:tabs>
              <w:spacing w:before="40" w:after="40"/>
              <w:jc w:val="center"/>
              <w:rPr>
                <w:rFonts w:asciiTheme="minorHAnsi" w:hAnsiTheme="minorHAnsi" w:cs="Arial"/>
                <w:b/>
                <w:sz w:val="18"/>
                <w:szCs w:val="18"/>
                <w:lang w:val="en-GB"/>
              </w:rPr>
            </w:pPr>
            <w:r w:rsidRPr="00A52B68">
              <w:rPr>
                <w:rFonts w:asciiTheme="minorHAnsi" w:hAnsiTheme="minorHAnsi" w:cs="Arial"/>
                <w:b/>
                <w:sz w:val="18"/>
                <w:szCs w:val="18"/>
                <w:lang w:val="en-GB"/>
              </w:rPr>
              <w:t>2014</w:t>
            </w:r>
          </w:p>
        </w:tc>
        <w:tc>
          <w:tcPr>
            <w:tcW w:w="765" w:type="dxa"/>
            <w:vAlign w:val="center"/>
          </w:tcPr>
          <w:p w14:paraId="12F5D041" w14:textId="77777777" w:rsidR="00E72B95" w:rsidRPr="00A52B68" w:rsidRDefault="00E72B95" w:rsidP="000232EB">
            <w:pPr>
              <w:tabs>
                <w:tab w:val="center" w:pos="4320"/>
                <w:tab w:val="right" w:pos="8640"/>
              </w:tabs>
              <w:spacing w:before="40" w:after="40"/>
              <w:jc w:val="center"/>
              <w:rPr>
                <w:rFonts w:asciiTheme="minorHAnsi" w:hAnsiTheme="minorHAnsi" w:cs="Arial"/>
                <w:b/>
                <w:sz w:val="18"/>
                <w:szCs w:val="18"/>
                <w:lang w:val="en-GB"/>
              </w:rPr>
            </w:pPr>
            <w:r w:rsidRPr="00A52B68">
              <w:rPr>
                <w:rFonts w:asciiTheme="minorHAnsi" w:hAnsiTheme="minorHAnsi" w:cs="Arial"/>
                <w:b/>
                <w:sz w:val="18"/>
                <w:szCs w:val="18"/>
                <w:lang w:val="en-GB"/>
              </w:rPr>
              <w:t>2015</w:t>
            </w:r>
          </w:p>
        </w:tc>
        <w:tc>
          <w:tcPr>
            <w:tcW w:w="765" w:type="dxa"/>
            <w:vAlign w:val="center"/>
          </w:tcPr>
          <w:p w14:paraId="7B42FCE4" w14:textId="77777777" w:rsidR="00E72B95" w:rsidRPr="00A52B68" w:rsidRDefault="00E72B95" w:rsidP="000232EB">
            <w:pPr>
              <w:tabs>
                <w:tab w:val="center" w:pos="4320"/>
                <w:tab w:val="right" w:pos="8640"/>
              </w:tabs>
              <w:spacing w:before="40" w:after="40"/>
              <w:jc w:val="center"/>
              <w:rPr>
                <w:rFonts w:asciiTheme="minorHAnsi" w:hAnsiTheme="minorHAnsi" w:cs="Arial"/>
                <w:b/>
                <w:sz w:val="18"/>
                <w:szCs w:val="18"/>
                <w:lang w:val="en-GB"/>
              </w:rPr>
            </w:pPr>
            <w:r w:rsidRPr="00A52B68">
              <w:rPr>
                <w:rFonts w:asciiTheme="minorHAnsi" w:hAnsiTheme="minorHAnsi" w:cs="Arial"/>
                <w:b/>
                <w:sz w:val="18"/>
                <w:szCs w:val="18"/>
                <w:lang w:val="en-GB"/>
              </w:rPr>
              <w:t>2016</w:t>
            </w:r>
          </w:p>
        </w:tc>
        <w:tc>
          <w:tcPr>
            <w:tcW w:w="765" w:type="dxa"/>
            <w:vAlign w:val="center"/>
          </w:tcPr>
          <w:p w14:paraId="53ECA845" w14:textId="77777777" w:rsidR="00E72B95" w:rsidRPr="00A52B68" w:rsidRDefault="00E72B95" w:rsidP="000232EB">
            <w:pPr>
              <w:tabs>
                <w:tab w:val="center" w:pos="4320"/>
                <w:tab w:val="right" w:pos="8640"/>
              </w:tabs>
              <w:spacing w:before="40" w:after="40"/>
              <w:jc w:val="center"/>
              <w:rPr>
                <w:rFonts w:asciiTheme="minorHAnsi" w:hAnsiTheme="minorHAnsi" w:cs="Arial"/>
                <w:b/>
                <w:sz w:val="18"/>
                <w:szCs w:val="18"/>
                <w:lang w:val="en-GB"/>
              </w:rPr>
            </w:pPr>
            <w:r w:rsidRPr="00A52B68">
              <w:rPr>
                <w:rFonts w:asciiTheme="minorHAnsi" w:hAnsiTheme="minorHAnsi" w:cs="Arial"/>
                <w:b/>
                <w:sz w:val="18"/>
                <w:szCs w:val="18"/>
                <w:lang w:val="en-GB"/>
              </w:rPr>
              <w:t>2017</w:t>
            </w:r>
          </w:p>
        </w:tc>
      </w:tr>
      <w:tr w:rsidR="00E72B95" w:rsidRPr="00C17BD1" w14:paraId="2D08CA4F" w14:textId="77777777" w:rsidTr="00A52B68">
        <w:trPr>
          <w:jc w:val="center"/>
        </w:trPr>
        <w:tc>
          <w:tcPr>
            <w:tcW w:w="1451" w:type="dxa"/>
            <w:vAlign w:val="center"/>
          </w:tcPr>
          <w:p w14:paraId="589F6D6F" w14:textId="77777777" w:rsidR="00E72B95" w:rsidRPr="00A52B68" w:rsidRDefault="00E72B95" w:rsidP="000232EB">
            <w:pPr>
              <w:spacing w:before="40" w:after="40"/>
              <w:jc w:val="left"/>
              <w:rPr>
                <w:rFonts w:asciiTheme="minorHAnsi" w:hAnsiTheme="minorHAnsi" w:cs="Arial"/>
                <w:sz w:val="18"/>
                <w:szCs w:val="18"/>
                <w:lang w:val="en-GB"/>
              </w:rPr>
            </w:pPr>
            <w:r w:rsidRPr="00A52B68">
              <w:rPr>
                <w:rFonts w:asciiTheme="minorHAnsi" w:hAnsiTheme="minorHAnsi" w:cs="Arial"/>
                <w:sz w:val="18"/>
                <w:szCs w:val="18"/>
                <w:lang w:val="en-GB"/>
              </w:rPr>
              <w:t xml:space="preserve">GDB </w:t>
            </w:r>
            <w:proofErr w:type="spellStart"/>
            <w:r w:rsidRPr="00A52B68">
              <w:rPr>
                <w:rFonts w:asciiTheme="minorHAnsi" w:hAnsiTheme="minorHAnsi" w:cs="Arial"/>
                <w:sz w:val="18"/>
                <w:szCs w:val="18"/>
                <w:lang w:val="en-GB"/>
              </w:rPr>
              <w:t>Bln</w:t>
            </w:r>
            <w:proofErr w:type="spellEnd"/>
            <w:r w:rsidRPr="00A52B68">
              <w:rPr>
                <w:rFonts w:asciiTheme="minorHAnsi" w:hAnsiTheme="minorHAnsi" w:cs="Arial"/>
                <w:sz w:val="18"/>
                <w:szCs w:val="18"/>
                <w:lang w:val="en-GB"/>
              </w:rPr>
              <w:t>$</w:t>
            </w:r>
          </w:p>
        </w:tc>
        <w:tc>
          <w:tcPr>
            <w:tcW w:w="765" w:type="dxa"/>
            <w:vAlign w:val="center"/>
          </w:tcPr>
          <w:p w14:paraId="77362A97" w14:textId="77777777" w:rsidR="00E72B95" w:rsidRPr="00A52B68" w:rsidRDefault="00E72B95" w:rsidP="000232EB">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1.77</w:t>
            </w:r>
          </w:p>
        </w:tc>
        <w:tc>
          <w:tcPr>
            <w:tcW w:w="765" w:type="dxa"/>
            <w:vAlign w:val="center"/>
          </w:tcPr>
          <w:p w14:paraId="740CD8F1" w14:textId="77777777" w:rsidR="00E72B95" w:rsidRPr="00A52B68" w:rsidRDefault="00E72B95" w:rsidP="000232EB">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2.40</w:t>
            </w:r>
          </w:p>
        </w:tc>
        <w:tc>
          <w:tcPr>
            <w:tcW w:w="765" w:type="dxa"/>
            <w:vAlign w:val="center"/>
          </w:tcPr>
          <w:p w14:paraId="2BEB7995" w14:textId="77777777" w:rsidR="00E72B95" w:rsidRPr="00A52B68" w:rsidRDefault="00E72B95" w:rsidP="000232EB">
            <w:pPr>
              <w:tabs>
                <w:tab w:val="center" w:pos="4320"/>
                <w:tab w:val="right" w:pos="8640"/>
              </w:tabs>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2.79</w:t>
            </w:r>
          </w:p>
        </w:tc>
        <w:tc>
          <w:tcPr>
            <w:tcW w:w="765" w:type="dxa"/>
            <w:vAlign w:val="center"/>
          </w:tcPr>
          <w:p w14:paraId="03A40F7E" w14:textId="77777777" w:rsidR="00E72B95" w:rsidRPr="00A52B68" w:rsidRDefault="00E72B95" w:rsidP="000232EB">
            <w:pPr>
              <w:tabs>
                <w:tab w:val="center" w:pos="4320"/>
                <w:tab w:val="right" w:pos="8640"/>
              </w:tabs>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2.67</w:t>
            </w:r>
          </w:p>
        </w:tc>
        <w:tc>
          <w:tcPr>
            <w:tcW w:w="765" w:type="dxa"/>
            <w:vAlign w:val="center"/>
          </w:tcPr>
          <w:p w14:paraId="47F2F764" w14:textId="77777777" w:rsidR="00E72B95" w:rsidRPr="00A52B68" w:rsidRDefault="00E72B95" w:rsidP="000232EB">
            <w:pPr>
              <w:tabs>
                <w:tab w:val="center" w:pos="4320"/>
                <w:tab w:val="right" w:pos="8640"/>
              </w:tabs>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2.53</w:t>
            </w:r>
          </w:p>
        </w:tc>
        <w:tc>
          <w:tcPr>
            <w:tcW w:w="765" w:type="dxa"/>
            <w:vAlign w:val="center"/>
          </w:tcPr>
          <w:p w14:paraId="4F098E05" w14:textId="77777777" w:rsidR="00E72B95" w:rsidRPr="00A52B68" w:rsidRDefault="00E72B95" w:rsidP="000232EB">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2.61</w:t>
            </w:r>
          </w:p>
        </w:tc>
        <w:tc>
          <w:tcPr>
            <w:tcW w:w="765" w:type="dxa"/>
            <w:vAlign w:val="center"/>
          </w:tcPr>
          <w:p w14:paraId="3C9A35BA" w14:textId="77777777" w:rsidR="00E72B95" w:rsidRPr="00A52B68" w:rsidRDefault="00E72B95" w:rsidP="000232EB">
            <w:pPr>
              <w:tabs>
                <w:tab w:val="center" w:pos="4320"/>
                <w:tab w:val="right" w:pos="8640"/>
              </w:tabs>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2.29</w:t>
            </w:r>
          </w:p>
        </w:tc>
        <w:tc>
          <w:tcPr>
            <w:tcW w:w="765" w:type="dxa"/>
            <w:vAlign w:val="center"/>
          </w:tcPr>
          <w:p w14:paraId="030BE73B" w14:textId="77777777" w:rsidR="00E72B95" w:rsidRPr="00A52B68" w:rsidRDefault="00E72B95" w:rsidP="000232EB">
            <w:pPr>
              <w:tabs>
                <w:tab w:val="center" w:pos="4320"/>
                <w:tab w:val="right" w:pos="8640"/>
              </w:tabs>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2.31</w:t>
            </w:r>
          </w:p>
        </w:tc>
        <w:tc>
          <w:tcPr>
            <w:tcW w:w="765" w:type="dxa"/>
            <w:vAlign w:val="center"/>
          </w:tcPr>
          <w:p w14:paraId="7AB280EC" w14:textId="77777777" w:rsidR="00E72B95" w:rsidRPr="00A52B68" w:rsidRDefault="00E72B95" w:rsidP="000232EB">
            <w:pPr>
              <w:tabs>
                <w:tab w:val="center" w:pos="4320"/>
                <w:tab w:val="right" w:pos="8640"/>
              </w:tabs>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2.57</w:t>
            </w:r>
          </w:p>
        </w:tc>
      </w:tr>
      <w:tr w:rsidR="00E72B95" w:rsidRPr="00C17BD1" w14:paraId="050DBACE" w14:textId="77777777" w:rsidTr="00A52B68">
        <w:trPr>
          <w:jc w:val="center"/>
        </w:trPr>
        <w:tc>
          <w:tcPr>
            <w:tcW w:w="1451" w:type="dxa"/>
            <w:vAlign w:val="center"/>
          </w:tcPr>
          <w:p w14:paraId="45460ABF" w14:textId="03E251CB" w:rsidR="00E72B95" w:rsidRPr="00A52B68" w:rsidRDefault="00E72B95" w:rsidP="00E72B95">
            <w:pPr>
              <w:spacing w:before="40" w:after="40"/>
              <w:jc w:val="left"/>
              <w:rPr>
                <w:rFonts w:asciiTheme="minorHAnsi" w:hAnsiTheme="minorHAnsi" w:cs="Arial"/>
                <w:sz w:val="18"/>
                <w:szCs w:val="18"/>
                <w:lang w:val="en-GB"/>
              </w:rPr>
            </w:pPr>
            <w:r w:rsidRPr="00A52B68">
              <w:rPr>
                <w:rFonts w:asciiTheme="minorHAnsi" w:hAnsiTheme="minorHAnsi" w:cs="Arial"/>
                <w:sz w:val="18"/>
                <w:szCs w:val="18"/>
                <w:lang w:val="en-GB"/>
              </w:rPr>
              <w:t>Revenue as %</w:t>
            </w:r>
            <w:r w:rsidR="004F5893" w:rsidRPr="00A52B68">
              <w:rPr>
                <w:rFonts w:asciiTheme="minorHAnsi" w:hAnsiTheme="minorHAnsi" w:cs="Arial"/>
                <w:sz w:val="18"/>
                <w:szCs w:val="18"/>
                <w:lang w:val="en-GB"/>
              </w:rPr>
              <w:t xml:space="preserve"> </w:t>
            </w:r>
            <w:r w:rsidRPr="00A52B68">
              <w:rPr>
                <w:rFonts w:asciiTheme="minorHAnsi" w:hAnsiTheme="minorHAnsi" w:cs="Arial"/>
                <w:sz w:val="18"/>
                <w:szCs w:val="18"/>
                <w:lang w:val="en-GB"/>
              </w:rPr>
              <w:t xml:space="preserve">of GDP other SOEs </w:t>
            </w:r>
          </w:p>
        </w:tc>
        <w:tc>
          <w:tcPr>
            <w:tcW w:w="765" w:type="dxa"/>
            <w:vAlign w:val="bottom"/>
          </w:tcPr>
          <w:p w14:paraId="2B171742" w14:textId="1D952420" w:rsidR="00E72B95" w:rsidRPr="00A52B68" w:rsidRDefault="00E72B95" w:rsidP="000232EB">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5.69</w:t>
            </w:r>
          </w:p>
        </w:tc>
        <w:tc>
          <w:tcPr>
            <w:tcW w:w="765" w:type="dxa"/>
            <w:vAlign w:val="bottom"/>
          </w:tcPr>
          <w:p w14:paraId="2FE3F899" w14:textId="3ADEFF06" w:rsidR="00E72B95" w:rsidRPr="00A52B68" w:rsidRDefault="00E72B95" w:rsidP="000232EB">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4.8</w:t>
            </w:r>
          </w:p>
        </w:tc>
        <w:tc>
          <w:tcPr>
            <w:tcW w:w="765" w:type="dxa"/>
            <w:vAlign w:val="bottom"/>
          </w:tcPr>
          <w:p w14:paraId="57C4D335" w14:textId="146A1990" w:rsidR="00E72B95" w:rsidRPr="00A52B68" w:rsidRDefault="00E72B95" w:rsidP="000232EB">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3.8</w:t>
            </w:r>
          </w:p>
        </w:tc>
        <w:tc>
          <w:tcPr>
            <w:tcW w:w="765" w:type="dxa"/>
            <w:vAlign w:val="bottom"/>
          </w:tcPr>
          <w:p w14:paraId="34E778FD" w14:textId="10E2B7F0" w:rsidR="00E72B95" w:rsidRPr="00A52B68" w:rsidRDefault="00E72B95" w:rsidP="000232EB">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4.09</w:t>
            </w:r>
          </w:p>
        </w:tc>
        <w:tc>
          <w:tcPr>
            <w:tcW w:w="765" w:type="dxa"/>
            <w:vAlign w:val="bottom"/>
          </w:tcPr>
          <w:p w14:paraId="2F19487E" w14:textId="5FBCCCFB" w:rsidR="00E72B95" w:rsidRPr="00A52B68" w:rsidRDefault="00E72B95" w:rsidP="000232EB">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3.71</w:t>
            </w:r>
          </w:p>
        </w:tc>
        <w:tc>
          <w:tcPr>
            <w:tcW w:w="765" w:type="dxa"/>
            <w:vAlign w:val="bottom"/>
          </w:tcPr>
          <w:p w14:paraId="77FEE7A8" w14:textId="4023ADF7" w:rsidR="00E72B95" w:rsidRPr="00A52B68" w:rsidRDefault="00E72B95" w:rsidP="000232EB">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4.09</w:t>
            </w:r>
          </w:p>
        </w:tc>
        <w:tc>
          <w:tcPr>
            <w:tcW w:w="765" w:type="dxa"/>
            <w:vAlign w:val="bottom"/>
          </w:tcPr>
          <w:p w14:paraId="090A08BA" w14:textId="2AFD375D" w:rsidR="00E72B95" w:rsidRPr="00A52B68" w:rsidRDefault="00E72B95" w:rsidP="000232EB">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3.49</w:t>
            </w:r>
          </w:p>
        </w:tc>
        <w:tc>
          <w:tcPr>
            <w:tcW w:w="765" w:type="dxa"/>
            <w:vAlign w:val="bottom"/>
          </w:tcPr>
          <w:p w14:paraId="60FD823D" w14:textId="28BF4432" w:rsidR="00E72B95" w:rsidRPr="00A52B68" w:rsidRDefault="00E72B95" w:rsidP="000232EB">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6.07</w:t>
            </w:r>
          </w:p>
        </w:tc>
        <w:tc>
          <w:tcPr>
            <w:tcW w:w="765" w:type="dxa"/>
            <w:vAlign w:val="bottom"/>
          </w:tcPr>
          <w:p w14:paraId="787A409D" w14:textId="63D06BD4" w:rsidR="00E72B95" w:rsidRPr="00A52B68" w:rsidRDefault="00E72B95" w:rsidP="000232EB">
            <w:pPr>
              <w:spacing w:before="40" w:after="40"/>
              <w:jc w:val="center"/>
              <w:rPr>
                <w:rFonts w:asciiTheme="minorHAnsi" w:hAnsiTheme="minorHAnsi" w:cs="Arial"/>
                <w:sz w:val="18"/>
                <w:szCs w:val="18"/>
                <w:lang w:val="en-GB"/>
              </w:rPr>
            </w:pPr>
            <w:r w:rsidRPr="00A52B68">
              <w:rPr>
                <w:rFonts w:asciiTheme="minorHAnsi" w:hAnsiTheme="minorHAnsi" w:cs="Arial"/>
                <w:color w:val="000000"/>
                <w:sz w:val="18"/>
                <w:szCs w:val="18"/>
              </w:rPr>
              <w:t>4.58</w:t>
            </w:r>
          </w:p>
        </w:tc>
      </w:tr>
    </w:tbl>
    <w:p w14:paraId="5F8D4DC3" w14:textId="77777777" w:rsidR="00E72B95" w:rsidRDefault="00E72B95" w:rsidP="00A11CEC">
      <w:pPr>
        <w:rPr>
          <w:rFonts w:asciiTheme="minorHAnsi" w:hAnsiTheme="minorHAnsi"/>
          <w:color w:val="000000" w:themeColor="text1"/>
          <w:lang w:val="en-GB"/>
        </w:rPr>
      </w:pPr>
    </w:p>
    <w:p w14:paraId="32E4B469" w14:textId="3FCA4542" w:rsidR="00030BA0" w:rsidRPr="00A52B68" w:rsidRDefault="00030BA0" w:rsidP="00A52B68">
      <w:pPr>
        <w:ind w:firstLine="426"/>
        <w:rPr>
          <w:rFonts w:asciiTheme="minorHAnsi" w:hAnsiTheme="minorHAnsi"/>
          <w:i/>
          <w:color w:val="000000" w:themeColor="text1"/>
          <w:sz w:val="20"/>
          <w:lang w:val="en-GB"/>
        </w:rPr>
      </w:pPr>
      <w:r w:rsidRPr="00A52B68">
        <w:rPr>
          <w:rFonts w:asciiTheme="minorHAnsi" w:hAnsiTheme="minorHAnsi"/>
          <w:i/>
          <w:color w:val="000000" w:themeColor="text1"/>
          <w:sz w:val="20"/>
          <w:lang w:val="en-GB"/>
        </w:rPr>
        <w:t>Source: GDP – World Bank; Revenue – SOE AFS Various Years</w:t>
      </w:r>
    </w:p>
    <w:p w14:paraId="0AE9EF6C" w14:textId="77777777" w:rsidR="00030BA0" w:rsidRPr="00A11CEC" w:rsidRDefault="00030BA0" w:rsidP="00A11CEC">
      <w:pPr>
        <w:rPr>
          <w:rFonts w:asciiTheme="minorHAnsi" w:hAnsiTheme="minorHAnsi"/>
          <w:color w:val="000000" w:themeColor="text1"/>
          <w:lang w:val="en-GB"/>
        </w:rPr>
      </w:pPr>
    </w:p>
    <w:p w14:paraId="245914E0" w14:textId="20E62E74" w:rsidR="004014CA" w:rsidRPr="00D25BE7" w:rsidRDefault="00CD33EE" w:rsidP="00A52B68">
      <w:pPr>
        <w:pStyle w:val="ListParagraph"/>
        <w:ind w:left="425" w:hanging="425"/>
        <w:rPr>
          <w:rFonts w:asciiTheme="minorHAnsi" w:hAnsiTheme="minorHAnsi"/>
          <w:color w:val="000000" w:themeColor="text1"/>
          <w:lang w:val="en-GB"/>
        </w:rPr>
      </w:pPr>
      <w:r w:rsidRPr="00D25BE7">
        <w:rPr>
          <w:rFonts w:asciiTheme="minorHAnsi" w:hAnsiTheme="minorHAnsi"/>
          <w:color w:val="000000" w:themeColor="text1"/>
          <w:lang w:val="en-GB"/>
        </w:rPr>
        <w:t xml:space="preserve">These enterprises, arguably, are the most difficult to manage from a performance-monitoring perspective. Government, either directly, or through a combination of its influence in LNDC (and LNDC holdings) has a controlling interest. However, the enterprises are </w:t>
      </w:r>
      <w:r w:rsidR="00AD4929">
        <w:rPr>
          <w:rFonts w:asciiTheme="minorHAnsi" w:hAnsiTheme="minorHAnsi"/>
          <w:color w:val="000000" w:themeColor="text1"/>
          <w:lang w:val="en-GB"/>
        </w:rPr>
        <w:t>commercial</w:t>
      </w:r>
      <w:r w:rsidR="00AD4929" w:rsidRPr="00D25BE7">
        <w:rPr>
          <w:rFonts w:asciiTheme="minorHAnsi" w:hAnsiTheme="minorHAnsi"/>
          <w:color w:val="000000" w:themeColor="text1"/>
          <w:lang w:val="en-GB"/>
        </w:rPr>
        <w:t xml:space="preserve"> </w:t>
      </w:r>
      <w:r w:rsidRPr="00D25BE7">
        <w:rPr>
          <w:rFonts w:asciiTheme="minorHAnsi" w:hAnsiTheme="minorHAnsi"/>
          <w:color w:val="000000" w:themeColor="text1"/>
          <w:lang w:val="en-GB"/>
        </w:rPr>
        <w:t xml:space="preserve">businesses managed and operated via shareholding and management agreements. </w:t>
      </w:r>
    </w:p>
    <w:p w14:paraId="24FCC394" w14:textId="77777777" w:rsidR="00AD4929" w:rsidRPr="00A52B68" w:rsidRDefault="006A762D" w:rsidP="00A52B68">
      <w:pPr>
        <w:pStyle w:val="ListParagraph"/>
        <w:ind w:left="357" w:hanging="357"/>
        <w:rPr>
          <w:rFonts w:asciiTheme="minorHAnsi" w:hAnsiTheme="minorHAnsi"/>
          <w:lang w:val="en-GB"/>
        </w:rPr>
      </w:pPr>
      <w:r w:rsidRPr="00A52B68">
        <w:rPr>
          <w:rFonts w:asciiTheme="minorHAnsi" w:hAnsiTheme="minorHAnsi"/>
          <w:lang w:val="en-GB"/>
        </w:rPr>
        <w:t>Trends within this group are mixed.</w:t>
      </w:r>
      <w:r w:rsidR="00521CB1" w:rsidRPr="00A52B68">
        <w:rPr>
          <w:rFonts w:asciiTheme="minorHAnsi" w:hAnsiTheme="minorHAnsi"/>
          <w:lang w:val="en-GB"/>
        </w:rPr>
        <w:t xml:space="preserve"> Although the most recent 3 years has seen growth across the leading indicators, the rate of profit growth has slowed</w:t>
      </w:r>
      <w:r w:rsidR="00AD5142" w:rsidRPr="00A52B68">
        <w:rPr>
          <w:rFonts w:asciiTheme="minorHAnsi" w:hAnsiTheme="minorHAnsi"/>
          <w:lang w:val="en-GB"/>
        </w:rPr>
        <w:t>,</w:t>
      </w:r>
      <w:r w:rsidR="00521CB1" w:rsidRPr="00A52B68">
        <w:rPr>
          <w:rFonts w:asciiTheme="minorHAnsi" w:hAnsiTheme="minorHAnsi"/>
          <w:lang w:val="en-GB"/>
        </w:rPr>
        <w:t xml:space="preserve"> and the overall</w:t>
      </w:r>
      <w:r w:rsidR="00D720CA" w:rsidRPr="00A52B68">
        <w:rPr>
          <w:rFonts w:asciiTheme="minorHAnsi" w:hAnsiTheme="minorHAnsi"/>
          <w:lang w:val="en-GB"/>
        </w:rPr>
        <w:t xml:space="preserve"> performance of this group has slowed relative to the period to 2011.</w:t>
      </w:r>
      <w:r w:rsidR="00850BA6" w:rsidRPr="00A52B68">
        <w:rPr>
          <w:rFonts w:asciiTheme="minorHAnsi" w:hAnsiTheme="minorHAnsi"/>
          <w:lang w:val="en-GB"/>
        </w:rPr>
        <w:t xml:space="preserve"> </w:t>
      </w:r>
    </w:p>
    <w:p w14:paraId="75604073" w14:textId="693B896F" w:rsidR="004014CA" w:rsidRPr="00A52B68" w:rsidRDefault="004014CA" w:rsidP="00A52B68">
      <w:pPr>
        <w:pStyle w:val="ListParagraph"/>
        <w:ind w:left="357" w:hanging="357"/>
        <w:rPr>
          <w:rFonts w:asciiTheme="minorHAnsi" w:hAnsiTheme="minorHAnsi"/>
          <w:b/>
          <w:lang w:val="en-GB"/>
        </w:rPr>
      </w:pPr>
      <w:r w:rsidRPr="00A52B68">
        <w:rPr>
          <w:rFonts w:asciiTheme="minorHAnsi" w:hAnsiTheme="minorHAnsi"/>
          <w:b/>
          <w:lang w:val="en-GB"/>
        </w:rPr>
        <w:t xml:space="preserve">Figure </w:t>
      </w:r>
      <w:r w:rsidR="00AD4929" w:rsidRPr="00A52B68">
        <w:rPr>
          <w:rFonts w:asciiTheme="minorHAnsi" w:hAnsiTheme="minorHAnsi"/>
          <w:b/>
          <w:lang w:val="en-GB"/>
        </w:rPr>
        <w:t>7. Other SOE Returns</w:t>
      </w:r>
    </w:p>
    <w:p w14:paraId="19792061" w14:textId="0A925F33" w:rsidR="004014CA" w:rsidRDefault="000232EB" w:rsidP="00D720CA">
      <w:pPr>
        <w:pStyle w:val="ListParagraph"/>
        <w:numPr>
          <w:ilvl w:val="0"/>
          <w:numId w:val="0"/>
        </w:numPr>
        <w:ind w:left="426"/>
        <w:rPr>
          <w:rFonts w:asciiTheme="minorHAnsi" w:hAnsiTheme="minorHAnsi"/>
          <w:color w:val="000000" w:themeColor="text1"/>
          <w:lang w:val="en-GB"/>
        </w:rPr>
      </w:pPr>
      <w:r w:rsidRPr="00D25BE7">
        <w:rPr>
          <w:rFonts w:asciiTheme="minorHAnsi" w:hAnsiTheme="minorHAnsi"/>
          <w:noProof/>
        </w:rPr>
        <w:drawing>
          <wp:inline distT="0" distB="0" distL="0" distR="0" wp14:anchorId="68256A30" wp14:editId="7E67A4A7">
            <wp:extent cx="5486400" cy="2959735"/>
            <wp:effectExtent l="0" t="0" r="25400" b="374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84536A9" w14:textId="77777777" w:rsidR="00F16984" w:rsidRPr="00D8583C" w:rsidRDefault="00F16984" w:rsidP="007A0F4A">
      <w:pPr>
        <w:ind w:firstLine="426"/>
        <w:rPr>
          <w:rFonts w:asciiTheme="minorHAnsi" w:hAnsiTheme="minorHAnsi"/>
          <w:i/>
          <w:sz w:val="20"/>
          <w:lang w:val="en-GB"/>
        </w:rPr>
      </w:pPr>
      <w:r w:rsidRPr="00D8583C">
        <w:rPr>
          <w:rFonts w:asciiTheme="minorHAnsi" w:hAnsiTheme="minorHAnsi"/>
          <w:i/>
          <w:sz w:val="20"/>
          <w:lang w:val="en-GB"/>
        </w:rPr>
        <w:t>Source: SOE AFS Various Years</w:t>
      </w:r>
    </w:p>
    <w:p w14:paraId="0BB84BEB" w14:textId="77777777" w:rsidR="00F16984" w:rsidRPr="00A52B68" w:rsidRDefault="00F16984" w:rsidP="00A52B68">
      <w:pPr>
        <w:ind w:left="928" w:hanging="360"/>
        <w:rPr>
          <w:rFonts w:asciiTheme="minorHAnsi" w:hAnsiTheme="minorHAnsi"/>
          <w:color w:val="000000" w:themeColor="text1"/>
          <w:lang w:val="en-GB"/>
        </w:rPr>
      </w:pPr>
    </w:p>
    <w:p w14:paraId="3F131239" w14:textId="5B27B666" w:rsidR="00521CB1" w:rsidRPr="00D25BE7" w:rsidRDefault="00500DC8" w:rsidP="00237BB7">
      <w:pPr>
        <w:pStyle w:val="ListParagraph"/>
        <w:ind w:left="426" w:hanging="426"/>
        <w:rPr>
          <w:rFonts w:asciiTheme="minorHAnsi" w:hAnsiTheme="minorHAnsi"/>
          <w:color w:val="000000" w:themeColor="text1"/>
          <w:lang w:val="en-GB"/>
        </w:rPr>
      </w:pPr>
      <w:r>
        <w:rPr>
          <w:rFonts w:asciiTheme="minorHAnsi" w:hAnsiTheme="minorHAnsi"/>
          <w:color w:val="000000" w:themeColor="text1"/>
          <w:lang w:val="en-GB"/>
        </w:rPr>
        <w:t>MMB</w:t>
      </w:r>
      <w:r w:rsidR="00FC4D74" w:rsidRPr="00D25BE7">
        <w:rPr>
          <w:rFonts w:asciiTheme="minorHAnsi" w:hAnsiTheme="minorHAnsi"/>
          <w:color w:val="000000" w:themeColor="text1"/>
          <w:lang w:val="en-GB"/>
        </w:rPr>
        <w:t xml:space="preserve"> is the major performer in this group, contributing a steady dividend stream. However, other SOEs, including Loti Brick and LHLDC do not make significant contributions</w:t>
      </w:r>
      <w:r w:rsidR="00335D0F" w:rsidRPr="00D25BE7">
        <w:rPr>
          <w:rFonts w:asciiTheme="minorHAnsi" w:hAnsiTheme="minorHAnsi"/>
          <w:color w:val="000000" w:themeColor="text1"/>
          <w:lang w:val="en-GB"/>
        </w:rPr>
        <w:t xml:space="preserve"> (and have not produced AFS for 201</w:t>
      </w:r>
      <w:r w:rsidR="00B701D8">
        <w:rPr>
          <w:rFonts w:asciiTheme="minorHAnsi" w:hAnsiTheme="minorHAnsi"/>
          <w:color w:val="000000" w:themeColor="text1"/>
          <w:lang w:val="en-GB"/>
        </w:rPr>
        <w:t>7</w:t>
      </w:r>
      <w:r w:rsidR="00335D0F" w:rsidRPr="00D25BE7">
        <w:rPr>
          <w:rFonts w:asciiTheme="minorHAnsi" w:hAnsiTheme="minorHAnsi"/>
          <w:color w:val="000000" w:themeColor="text1"/>
          <w:lang w:val="en-GB"/>
        </w:rPr>
        <w:t>/1</w:t>
      </w:r>
      <w:r w:rsidR="00B701D8">
        <w:rPr>
          <w:rFonts w:asciiTheme="minorHAnsi" w:hAnsiTheme="minorHAnsi"/>
          <w:color w:val="000000" w:themeColor="text1"/>
          <w:lang w:val="en-GB"/>
        </w:rPr>
        <w:t>8</w:t>
      </w:r>
      <w:r w:rsidR="00335D0F" w:rsidRPr="00D25BE7">
        <w:rPr>
          <w:rFonts w:asciiTheme="minorHAnsi" w:hAnsiTheme="minorHAnsi"/>
          <w:color w:val="000000" w:themeColor="text1"/>
          <w:lang w:val="en-GB"/>
        </w:rPr>
        <w:t>).</w:t>
      </w:r>
    </w:p>
    <w:p w14:paraId="629D4655" w14:textId="0962B924" w:rsidR="00FC4D74" w:rsidRPr="00D25BE7" w:rsidRDefault="00FC4D74" w:rsidP="00237BB7">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Government, through its shareholdings and the investment of LNDC, has a controlling interest in Loti Brick and MHG (</w:t>
      </w:r>
      <w:proofErr w:type="spellStart"/>
      <w:r w:rsidRPr="00D25BE7">
        <w:rPr>
          <w:rFonts w:asciiTheme="minorHAnsi" w:hAnsiTheme="minorHAnsi"/>
          <w:color w:val="000000" w:themeColor="text1"/>
          <w:lang w:val="en-GB"/>
        </w:rPr>
        <w:t>Avani</w:t>
      </w:r>
      <w:proofErr w:type="spellEnd"/>
      <w:r w:rsidRPr="00D25BE7">
        <w:rPr>
          <w:rFonts w:asciiTheme="minorHAnsi" w:hAnsiTheme="minorHAnsi"/>
          <w:color w:val="000000" w:themeColor="text1"/>
          <w:lang w:val="en-GB"/>
        </w:rPr>
        <w:t xml:space="preserve">) and it is worth further evaluation of the shareholding and management relationships to </w:t>
      </w:r>
      <w:r w:rsidR="003B2A4E" w:rsidRPr="00D25BE7">
        <w:rPr>
          <w:rFonts w:asciiTheme="minorHAnsi" w:hAnsiTheme="minorHAnsi"/>
          <w:color w:val="000000" w:themeColor="text1"/>
          <w:lang w:val="en-GB"/>
        </w:rPr>
        <w:t xml:space="preserve">attempt to </w:t>
      </w:r>
      <w:r w:rsidRPr="00D25BE7">
        <w:rPr>
          <w:rFonts w:asciiTheme="minorHAnsi" w:hAnsiTheme="minorHAnsi"/>
          <w:color w:val="000000" w:themeColor="text1"/>
          <w:lang w:val="en-GB"/>
        </w:rPr>
        <w:t>secure better returns from these SOEs.</w:t>
      </w:r>
      <w:r w:rsidR="00CB7ACC" w:rsidRPr="00D25BE7">
        <w:rPr>
          <w:rFonts w:asciiTheme="minorHAnsi" w:hAnsiTheme="minorHAnsi"/>
          <w:color w:val="000000" w:themeColor="text1"/>
          <w:lang w:val="en-GB"/>
        </w:rPr>
        <w:t xml:space="preserve"> Loti Brick’s </w:t>
      </w:r>
      <w:r w:rsidR="00CB7ACC" w:rsidRPr="00D25BE7">
        <w:rPr>
          <w:rFonts w:asciiTheme="minorHAnsi" w:hAnsiTheme="minorHAnsi"/>
          <w:color w:val="000000" w:themeColor="text1"/>
          <w:lang w:val="en-GB"/>
        </w:rPr>
        <w:lastRenderedPageBreak/>
        <w:t xml:space="preserve">performance in 2014/15 was particularly disappointing and </w:t>
      </w:r>
      <w:r w:rsidR="003B2A4E" w:rsidRPr="00D25BE7">
        <w:rPr>
          <w:rFonts w:asciiTheme="minorHAnsi" w:hAnsiTheme="minorHAnsi"/>
          <w:color w:val="000000" w:themeColor="text1"/>
          <w:lang w:val="en-GB"/>
        </w:rPr>
        <w:t xml:space="preserve">deteriorated in 2015/16 and </w:t>
      </w:r>
      <w:r w:rsidR="006171E9">
        <w:rPr>
          <w:rFonts w:asciiTheme="minorHAnsi" w:hAnsiTheme="minorHAnsi"/>
          <w:color w:val="000000" w:themeColor="text1"/>
          <w:lang w:val="en-GB"/>
        </w:rPr>
        <w:t xml:space="preserve">later </w:t>
      </w:r>
      <w:r w:rsidR="003B2A4E" w:rsidRPr="00D25BE7">
        <w:rPr>
          <w:rFonts w:asciiTheme="minorHAnsi" w:hAnsiTheme="minorHAnsi"/>
          <w:color w:val="000000" w:themeColor="text1"/>
          <w:lang w:val="en-GB"/>
        </w:rPr>
        <w:t xml:space="preserve">results are not available. </w:t>
      </w:r>
      <w:r w:rsidR="006171E9">
        <w:rPr>
          <w:rFonts w:asciiTheme="minorHAnsi" w:hAnsiTheme="minorHAnsi"/>
          <w:color w:val="000000" w:themeColor="text1"/>
          <w:lang w:val="en-GB"/>
        </w:rPr>
        <w:t>I</w:t>
      </w:r>
      <w:r w:rsidR="00CB7ACC" w:rsidRPr="00D25BE7">
        <w:rPr>
          <w:rFonts w:asciiTheme="minorHAnsi" w:hAnsiTheme="minorHAnsi"/>
          <w:color w:val="000000" w:themeColor="text1"/>
          <w:lang w:val="en-GB"/>
        </w:rPr>
        <w:t>t is unclear if losses incurred are indicative of a longer-term trend or a temporary downturn</w:t>
      </w:r>
      <w:r w:rsidR="00CB7ACC" w:rsidRPr="00D25BE7">
        <w:rPr>
          <w:rStyle w:val="FootnoteReference"/>
          <w:rFonts w:asciiTheme="minorHAnsi" w:hAnsiTheme="minorHAnsi"/>
          <w:color w:val="000000" w:themeColor="text1"/>
          <w:lang w:val="en-GB"/>
        </w:rPr>
        <w:footnoteReference w:id="5"/>
      </w:r>
      <w:r w:rsidR="00CB7ACC" w:rsidRPr="00D25BE7">
        <w:rPr>
          <w:rFonts w:asciiTheme="minorHAnsi" w:hAnsiTheme="minorHAnsi"/>
          <w:color w:val="000000" w:themeColor="text1"/>
          <w:lang w:val="en-GB"/>
        </w:rPr>
        <w:t>.</w:t>
      </w:r>
    </w:p>
    <w:p w14:paraId="04D772B4" w14:textId="5F19453D" w:rsidR="00E36BE6" w:rsidRPr="00D25BE7" w:rsidRDefault="00002AF4" w:rsidP="00E36BE6">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Loti Brick and MHG (</w:t>
      </w:r>
      <w:proofErr w:type="spellStart"/>
      <w:r w:rsidRPr="00D25BE7">
        <w:rPr>
          <w:rFonts w:asciiTheme="minorHAnsi" w:hAnsiTheme="minorHAnsi"/>
          <w:color w:val="000000" w:themeColor="text1"/>
          <w:lang w:val="en-GB"/>
        </w:rPr>
        <w:t>Avani</w:t>
      </w:r>
      <w:proofErr w:type="spellEnd"/>
      <w:r w:rsidRPr="00D25BE7">
        <w:rPr>
          <w:rFonts w:asciiTheme="minorHAnsi" w:hAnsiTheme="minorHAnsi"/>
          <w:color w:val="000000" w:themeColor="text1"/>
          <w:lang w:val="en-GB"/>
        </w:rPr>
        <w:t xml:space="preserve">) are not generating regular dividends and this calls to question important issues about the rationale for Government investment, as well as </w:t>
      </w:r>
      <w:r w:rsidR="00335D0F" w:rsidRPr="00D25BE7">
        <w:rPr>
          <w:rFonts w:asciiTheme="minorHAnsi" w:hAnsiTheme="minorHAnsi"/>
          <w:color w:val="000000" w:themeColor="text1"/>
          <w:lang w:val="en-GB"/>
        </w:rPr>
        <w:t>tightening management agreements to avoid perception or practice of any</w:t>
      </w:r>
      <w:r w:rsidRPr="00D25BE7">
        <w:rPr>
          <w:rFonts w:asciiTheme="minorHAnsi" w:hAnsiTheme="minorHAnsi"/>
          <w:color w:val="000000" w:themeColor="text1"/>
          <w:lang w:val="en-GB"/>
        </w:rPr>
        <w:t xml:space="preserve"> transfer pricing.</w:t>
      </w:r>
    </w:p>
    <w:p w14:paraId="58581AFC" w14:textId="0B33DF8F" w:rsidR="00E36BE6" w:rsidRPr="00D25BE7" w:rsidRDefault="00E36BE6" w:rsidP="00E36BE6">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Relevant performance data for FY’1</w:t>
      </w:r>
      <w:r w:rsidR="00B701D8">
        <w:rPr>
          <w:rFonts w:asciiTheme="minorHAnsi" w:hAnsiTheme="minorHAnsi"/>
          <w:color w:val="000000" w:themeColor="text1"/>
          <w:lang w:val="en-GB"/>
        </w:rPr>
        <w:t>8</w:t>
      </w:r>
      <w:r w:rsidRPr="00D25BE7">
        <w:rPr>
          <w:rFonts w:asciiTheme="minorHAnsi" w:hAnsiTheme="minorHAnsi"/>
          <w:color w:val="000000" w:themeColor="text1"/>
          <w:lang w:val="en-GB"/>
        </w:rPr>
        <w:t xml:space="preserve"> is:</w:t>
      </w:r>
    </w:p>
    <w:p w14:paraId="1751F0CF" w14:textId="5D24271C" w:rsidR="00BC3E94" w:rsidRPr="00A60749" w:rsidRDefault="00BC3E94" w:rsidP="00BC3E94">
      <w:pPr>
        <w:ind w:firstLine="426"/>
        <w:rPr>
          <w:rFonts w:asciiTheme="minorHAnsi" w:hAnsiTheme="minorHAnsi"/>
          <w:b/>
          <w:sz w:val="20"/>
          <w:lang w:val="en-GB"/>
        </w:rPr>
      </w:pPr>
      <w:r w:rsidRPr="00A60749">
        <w:rPr>
          <w:rFonts w:asciiTheme="minorHAnsi" w:hAnsiTheme="minorHAnsi"/>
          <w:b/>
          <w:sz w:val="20"/>
          <w:lang w:val="en-GB"/>
        </w:rPr>
        <w:t>Table 3: Performance Highlights – SOEs under LNDC</w:t>
      </w:r>
      <w:r w:rsidR="00B701D8">
        <w:rPr>
          <w:rFonts w:asciiTheme="minorHAnsi" w:hAnsiTheme="minorHAnsi"/>
          <w:b/>
          <w:sz w:val="20"/>
          <w:lang w:val="en-GB"/>
        </w:rPr>
        <w:t xml:space="preserve"> /</w:t>
      </w:r>
      <w:r w:rsidRPr="00A60749">
        <w:rPr>
          <w:rFonts w:asciiTheme="minorHAnsi" w:hAnsiTheme="minorHAnsi"/>
          <w:b/>
          <w:sz w:val="20"/>
          <w:lang w:val="en-GB"/>
        </w:rPr>
        <w:t xml:space="preserve"> Government control </w:t>
      </w:r>
    </w:p>
    <w:p w14:paraId="70DCAEA0" w14:textId="77777777" w:rsidR="00B701D8" w:rsidRPr="00D25BE7" w:rsidRDefault="00B701D8" w:rsidP="00BC3E94">
      <w:pPr>
        <w:ind w:firstLine="426"/>
        <w:rPr>
          <w:rFonts w:asciiTheme="minorHAnsi" w:hAnsiTheme="minorHAnsi"/>
          <w:sz w:val="18"/>
          <w:szCs w:val="18"/>
          <w:lang w:val="en-GB"/>
        </w:rPr>
      </w:pPr>
    </w:p>
    <w:tbl>
      <w:tblPr>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6"/>
        <w:gridCol w:w="1315"/>
        <w:gridCol w:w="1315"/>
        <w:gridCol w:w="1315"/>
        <w:gridCol w:w="1315"/>
      </w:tblGrid>
      <w:tr w:rsidR="00C616B1" w:rsidRPr="00C17BD1" w14:paraId="19CCEC6C" w14:textId="77777777" w:rsidTr="00A52B68">
        <w:trPr>
          <w:trHeight w:val="360"/>
          <w:tblHeader/>
          <w:jc w:val="center"/>
        </w:trPr>
        <w:tc>
          <w:tcPr>
            <w:tcW w:w="2676" w:type="dxa"/>
            <w:shd w:val="clear" w:color="auto" w:fill="D9D9D9" w:themeFill="background1" w:themeFillShade="D9"/>
            <w:noWrap/>
            <w:vAlign w:val="center"/>
            <w:hideMark/>
          </w:tcPr>
          <w:p w14:paraId="47102D35" w14:textId="77777777" w:rsidR="00C616B1" w:rsidRPr="00A52B68" w:rsidRDefault="00C616B1" w:rsidP="00A63F65">
            <w:pPr>
              <w:ind w:firstLine="42"/>
              <w:rPr>
                <w:rFonts w:asciiTheme="minorHAnsi" w:hAnsiTheme="minorHAnsi"/>
                <w:sz w:val="18"/>
                <w:szCs w:val="18"/>
                <w:lang w:eastAsia="en-GB"/>
              </w:rPr>
            </w:pPr>
            <w:r w:rsidRPr="00A52B68">
              <w:rPr>
                <w:rFonts w:asciiTheme="minorHAnsi" w:hAnsiTheme="minorHAnsi"/>
                <w:sz w:val="18"/>
                <w:szCs w:val="18"/>
                <w:lang w:eastAsia="en-GB"/>
              </w:rPr>
              <w:t>Performance Highlights (M '000)</w:t>
            </w:r>
          </w:p>
        </w:tc>
        <w:tc>
          <w:tcPr>
            <w:tcW w:w="1315" w:type="dxa"/>
            <w:shd w:val="clear" w:color="auto" w:fill="D9D9D9" w:themeFill="background1" w:themeFillShade="D9"/>
            <w:vAlign w:val="center"/>
          </w:tcPr>
          <w:p w14:paraId="0C0B64E8" w14:textId="2A0F3FD9" w:rsidR="00C616B1" w:rsidRPr="00A52B68" w:rsidRDefault="00C616B1" w:rsidP="00A63F65">
            <w:pPr>
              <w:jc w:val="center"/>
              <w:rPr>
                <w:rFonts w:asciiTheme="minorHAnsi" w:hAnsiTheme="minorHAnsi" w:cstheme="minorHAnsi"/>
                <w:b/>
                <w:bCs/>
                <w:sz w:val="18"/>
                <w:szCs w:val="18"/>
                <w:lang w:eastAsia="en-GB"/>
              </w:rPr>
            </w:pPr>
            <w:r w:rsidRPr="00A52B68">
              <w:rPr>
                <w:rFonts w:asciiTheme="minorHAnsi" w:hAnsiTheme="minorHAnsi" w:cstheme="minorHAnsi"/>
                <w:b/>
                <w:bCs/>
                <w:sz w:val="18"/>
                <w:szCs w:val="18"/>
                <w:lang w:eastAsia="en-GB"/>
              </w:rPr>
              <w:t>2014/15</w:t>
            </w:r>
          </w:p>
        </w:tc>
        <w:tc>
          <w:tcPr>
            <w:tcW w:w="1315" w:type="dxa"/>
            <w:shd w:val="clear" w:color="auto" w:fill="D9D9D9" w:themeFill="background1" w:themeFillShade="D9"/>
            <w:vAlign w:val="center"/>
          </w:tcPr>
          <w:p w14:paraId="52A3272A" w14:textId="53EDE69C" w:rsidR="00C616B1" w:rsidRPr="00A52B68" w:rsidRDefault="00C616B1" w:rsidP="00A63F65">
            <w:pPr>
              <w:jc w:val="center"/>
              <w:rPr>
                <w:rFonts w:asciiTheme="minorHAnsi" w:hAnsiTheme="minorHAnsi" w:cstheme="minorHAnsi"/>
                <w:b/>
                <w:bCs/>
                <w:color w:val="000000"/>
                <w:sz w:val="18"/>
                <w:szCs w:val="18"/>
                <w:lang w:eastAsia="en-GB"/>
              </w:rPr>
            </w:pPr>
            <w:r w:rsidRPr="00A52B68">
              <w:rPr>
                <w:rFonts w:asciiTheme="minorHAnsi" w:hAnsiTheme="minorHAnsi" w:cstheme="minorHAnsi"/>
                <w:b/>
                <w:bCs/>
                <w:sz w:val="18"/>
                <w:szCs w:val="18"/>
                <w:lang w:eastAsia="en-GB"/>
              </w:rPr>
              <w:t>2015/16</w:t>
            </w:r>
          </w:p>
        </w:tc>
        <w:tc>
          <w:tcPr>
            <w:tcW w:w="1315" w:type="dxa"/>
            <w:shd w:val="clear" w:color="auto" w:fill="D9D9D9" w:themeFill="background1" w:themeFillShade="D9"/>
            <w:vAlign w:val="center"/>
          </w:tcPr>
          <w:p w14:paraId="58225916" w14:textId="482506E4" w:rsidR="00C616B1" w:rsidRPr="00A52B68" w:rsidRDefault="00C616B1" w:rsidP="00A63F65">
            <w:pPr>
              <w:jc w:val="center"/>
              <w:rPr>
                <w:rFonts w:asciiTheme="minorHAnsi" w:hAnsiTheme="minorHAnsi" w:cstheme="minorHAnsi"/>
                <w:b/>
                <w:bCs/>
                <w:color w:val="000000"/>
                <w:sz w:val="18"/>
                <w:szCs w:val="18"/>
                <w:lang w:eastAsia="en-GB"/>
              </w:rPr>
            </w:pPr>
            <w:r w:rsidRPr="00A52B68">
              <w:rPr>
                <w:rFonts w:asciiTheme="minorHAnsi" w:hAnsiTheme="minorHAnsi" w:cstheme="minorHAnsi"/>
                <w:b/>
                <w:bCs/>
                <w:sz w:val="18"/>
                <w:szCs w:val="18"/>
                <w:lang w:eastAsia="en-GB"/>
              </w:rPr>
              <w:t>2016/17</w:t>
            </w:r>
          </w:p>
        </w:tc>
        <w:tc>
          <w:tcPr>
            <w:tcW w:w="1315" w:type="dxa"/>
            <w:shd w:val="clear" w:color="auto" w:fill="D9D9D9" w:themeFill="background1" w:themeFillShade="D9"/>
            <w:vAlign w:val="center"/>
          </w:tcPr>
          <w:p w14:paraId="22DCB238" w14:textId="265E512C" w:rsidR="00C616B1" w:rsidRPr="00A52B68" w:rsidRDefault="00C616B1" w:rsidP="00A63F65">
            <w:pPr>
              <w:jc w:val="center"/>
              <w:rPr>
                <w:rFonts w:asciiTheme="minorHAnsi" w:hAnsiTheme="minorHAnsi" w:cstheme="minorHAnsi"/>
                <w:b/>
                <w:bCs/>
                <w:color w:val="000000"/>
                <w:sz w:val="18"/>
                <w:szCs w:val="18"/>
                <w:lang w:eastAsia="en-GB"/>
              </w:rPr>
            </w:pPr>
            <w:r w:rsidRPr="00A52B68">
              <w:rPr>
                <w:rFonts w:asciiTheme="minorHAnsi" w:hAnsiTheme="minorHAnsi" w:cstheme="minorHAnsi"/>
                <w:b/>
                <w:bCs/>
                <w:sz w:val="18"/>
                <w:szCs w:val="18"/>
                <w:lang w:eastAsia="en-GB"/>
              </w:rPr>
              <w:t>2017/18</w:t>
            </w:r>
          </w:p>
        </w:tc>
      </w:tr>
      <w:tr w:rsidR="00C616B1" w:rsidRPr="00C17BD1" w14:paraId="7A4921EE" w14:textId="77777777" w:rsidTr="00A52B68">
        <w:trPr>
          <w:trHeight w:val="360"/>
          <w:jc w:val="center"/>
        </w:trPr>
        <w:tc>
          <w:tcPr>
            <w:tcW w:w="2676" w:type="dxa"/>
            <w:shd w:val="clear" w:color="000000" w:fill="FFFFFF"/>
            <w:noWrap/>
            <w:vAlign w:val="center"/>
            <w:hideMark/>
          </w:tcPr>
          <w:p w14:paraId="6596B663" w14:textId="77777777" w:rsidR="00C616B1" w:rsidRPr="00A52B68" w:rsidRDefault="00C616B1" w:rsidP="00A63F65">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Total Revenue</w:t>
            </w:r>
          </w:p>
        </w:tc>
        <w:tc>
          <w:tcPr>
            <w:tcW w:w="1315" w:type="dxa"/>
            <w:vAlign w:val="center"/>
          </w:tcPr>
          <w:p w14:paraId="0186FB43" w14:textId="26113A7B"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1,034,128</w:t>
            </w:r>
          </w:p>
        </w:tc>
        <w:tc>
          <w:tcPr>
            <w:tcW w:w="1315" w:type="dxa"/>
            <w:vAlign w:val="center"/>
          </w:tcPr>
          <w:p w14:paraId="61DFD4EC" w14:textId="3F400C55"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1,225,037</w:t>
            </w:r>
          </w:p>
        </w:tc>
        <w:tc>
          <w:tcPr>
            <w:tcW w:w="1315" w:type="dxa"/>
            <w:vAlign w:val="center"/>
          </w:tcPr>
          <w:p w14:paraId="62F83D38" w14:textId="2C5AD622" w:rsidR="00C616B1" w:rsidRPr="00A52B68" w:rsidRDefault="00C616B1" w:rsidP="00B733BE">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w:t>
            </w:r>
            <w:r w:rsidR="00B733BE" w:rsidRPr="00A52B68">
              <w:rPr>
                <w:rFonts w:asciiTheme="minorHAnsi" w:hAnsiTheme="minorHAnsi" w:cstheme="minorHAnsi"/>
                <w:color w:val="000000" w:themeColor="text1"/>
                <w:sz w:val="18"/>
                <w:szCs w:val="18"/>
                <w:lang w:eastAsia="en-GB"/>
              </w:rPr>
              <w:t>043,905</w:t>
            </w:r>
          </w:p>
        </w:tc>
        <w:tc>
          <w:tcPr>
            <w:tcW w:w="1315" w:type="dxa"/>
            <w:vAlign w:val="center"/>
          </w:tcPr>
          <w:p w14:paraId="308C9FFB" w14:textId="0810A28D" w:rsidR="00C616B1" w:rsidRPr="00A52B68" w:rsidRDefault="00B733BE" w:rsidP="00CA686B">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1,344,156</w:t>
            </w:r>
          </w:p>
        </w:tc>
      </w:tr>
      <w:tr w:rsidR="00C616B1" w:rsidRPr="00C17BD1" w14:paraId="78C81D47" w14:textId="77777777" w:rsidTr="00A52B68">
        <w:trPr>
          <w:trHeight w:val="360"/>
          <w:jc w:val="center"/>
        </w:trPr>
        <w:tc>
          <w:tcPr>
            <w:tcW w:w="2676" w:type="dxa"/>
            <w:shd w:val="clear" w:color="000000" w:fill="FFFFFF"/>
            <w:noWrap/>
            <w:vAlign w:val="center"/>
            <w:hideMark/>
          </w:tcPr>
          <w:p w14:paraId="62A798D3" w14:textId="77777777" w:rsidR="00C616B1" w:rsidRPr="00A52B68" w:rsidRDefault="00C616B1" w:rsidP="00A63F65">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Net Operating Profit After Tax</w:t>
            </w:r>
          </w:p>
        </w:tc>
        <w:tc>
          <w:tcPr>
            <w:tcW w:w="1315" w:type="dxa"/>
            <w:vAlign w:val="center"/>
          </w:tcPr>
          <w:p w14:paraId="7447E2C2" w14:textId="7DFD4191"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97,263</w:t>
            </w:r>
          </w:p>
        </w:tc>
        <w:tc>
          <w:tcPr>
            <w:tcW w:w="1315" w:type="dxa"/>
            <w:vAlign w:val="center"/>
          </w:tcPr>
          <w:p w14:paraId="529ED01C" w14:textId="33D5AF71" w:rsidR="00C616B1" w:rsidRPr="00A52B68" w:rsidRDefault="00CA686B" w:rsidP="00A63F65">
            <w:pPr>
              <w:jc w:val="right"/>
              <w:rPr>
                <w:rFonts w:asciiTheme="minorHAnsi" w:hAnsiTheme="minorHAnsi" w:cstheme="minorHAnsi"/>
                <w:color w:val="FF0000"/>
                <w:sz w:val="18"/>
                <w:szCs w:val="18"/>
                <w:lang w:eastAsia="en-GB"/>
              </w:rPr>
            </w:pPr>
            <w:r w:rsidRPr="00A52B68">
              <w:rPr>
                <w:rFonts w:asciiTheme="minorHAnsi" w:hAnsiTheme="minorHAnsi" w:cstheme="minorHAnsi"/>
                <w:color w:val="000000" w:themeColor="text1"/>
                <w:sz w:val="18"/>
                <w:szCs w:val="18"/>
                <w:lang w:eastAsia="en-GB"/>
              </w:rPr>
              <w:t>130,360</w:t>
            </w:r>
          </w:p>
        </w:tc>
        <w:tc>
          <w:tcPr>
            <w:tcW w:w="1315" w:type="dxa"/>
            <w:vAlign w:val="center"/>
          </w:tcPr>
          <w:p w14:paraId="31A2ACDF" w14:textId="27B85AC5" w:rsidR="00C616B1" w:rsidRPr="00A52B68" w:rsidRDefault="00CA686B" w:rsidP="00A63F65">
            <w:pPr>
              <w:jc w:val="right"/>
              <w:rPr>
                <w:rFonts w:asciiTheme="minorHAnsi" w:hAnsiTheme="minorHAnsi" w:cstheme="minorHAnsi"/>
                <w:color w:val="FF0000"/>
                <w:sz w:val="18"/>
                <w:szCs w:val="18"/>
                <w:lang w:eastAsia="en-GB"/>
              </w:rPr>
            </w:pPr>
            <w:r w:rsidRPr="00A52B68">
              <w:rPr>
                <w:rFonts w:asciiTheme="minorHAnsi" w:hAnsiTheme="minorHAnsi" w:cstheme="minorHAnsi"/>
                <w:color w:val="000000" w:themeColor="text1"/>
                <w:sz w:val="18"/>
                <w:szCs w:val="18"/>
                <w:lang w:eastAsia="en-GB"/>
              </w:rPr>
              <w:t>125,068</w:t>
            </w:r>
          </w:p>
        </w:tc>
        <w:tc>
          <w:tcPr>
            <w:tcW w:w="1315" w:type="dxa"/>
            <w:vAlign w:val="center"/>
          </w:tcPr>
          <w:p w14:paraId="062CFFA8" w14:textId="50CA4553" w:rsidR="00CA686B" w:rsidRPr="00A52B68" w:rsidRDefault="00CA686B" w:rsidP="00CA686B">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150,190</w:t>
            </w:r>
          </w:p>
        </w:tc>
      </w:tr>
      <w:tr w:rsidR="00C616B1" w:rsidRPr="00C17BD1" w14:paraId="5CB6011B" w14:textId="77777777" w:rsidTr="00A52B68">
        <w:trPr>
          <w:trHeight w:val="360"/>
          <w:jc w:val="center"/>
        </w:trPr>
        <w:tc>
          <w:tcPr>
            <w:tcW w:w="2676" w:type="dxa"/>
            <w:shd w:val="clear" w:color="000000" w:fill="FFFFFF"/>
            <w:noWrap/>
            <w:vAlign w:val="center"/>
            <w:hideMark/>
          </w:tcPr>
          <w:p w14:paraId="30182C2C" w14:textId="4840C135" w:rsidR="00C616B1" w:rsidRPr="00A52B68" w:rsidRDefault="00C616B1" w:rsidP="00A63F65">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Dividends paid to GoL</w:t>
            </w:r>
          </w:p>
        </w:tc>
        <w:tc>
          <w:tcPr>
            <w:tcW w:w="1315" w:type="dxa"/>
            <w:vAlign w:val="center"/>
          </w:tcPr>
          <w:p w14:paraId="30903D16" w14:textId="02733C42"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 xml:space="preserve">3,067 </w:t>
            </w:r>
          </w:p>
        </w:tc>
        <w:tc>
          <w:tcPr>
            <w:tcW w:w="1315" w:type="dxa"/>
            <w:vAlign w:val="center"/>
          </w:tcPr>
          <w:p w14:paraId="2A6365BC" w14:textId="25A1BB67"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 xml:space="preserve">4,816 </w:t>
            </w:r>
          </w:p>
        </w:tc>
        <w:tc>
          <w:tcPr>
            <w:tcW w:w="1315" w:type="dxa"/>
            <w:vAlign w:val="center"/>
          </w:tcPr>
          <w:p w14:paraId="4242974B" w14:textId="5BE4A5F0"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 xml:space="preserve">2,275 </w:t>
            </w:r>
          </w:p>
        </w:tc>
        <w:tc>
          <w:tcPr>
            <w:tcW w:w="1315" w:type="dxa"/>
            <w:vAlign w:val="center"/>
          </w:tcPr>
          <w:p w14:paraId="67DCB95D" w14:textId="0AD673F8" w:rsidR="00C616B1" w:rsidRPr="00A52B68" w:rsidRDefault="00D1750F" w:rsidP="00CA686B">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7,932</w:t>
            </w:r>
          </w:p>
        </w:tc>
      </w:tr>
      <w:tr w:rsidR="00C616B1" w:rsidRPr="00C17BD1" w14:paraId="214912DE" w14:textId="77777777" w:rsidTr="00A52B68">
        <w:trPr>
          <w:trHeight w:val="360"/>
          <w:jc w:val="center"/>
        </w:trPr>
        <w:tc>
          <w:tcPr>
            <w:tcW w:w="2676" w:type="dxa"/>
            <w:shd w:val="clear" w:color="000000" w:fill="FFFFFF"/>
            <w:noWrap/>
            <w:vAlign w:val="center"/>
            <w:hideMark/>
          </w:tcPr>
          <w:p w14:paraId="4D555B73" w14:textId="77777777" w:rsidR="00C616B1" w:rsidRPr="00A52B68" w:rsidRDefault="00C616B1" w:rsidP="00A63F65">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Total Assets</w:t>
            </w:r>
          </w:p>
        </w:tc>
        <w:tc>
          <w:tcPr>
            <w:tcW w:w="1315" w:type="dxa"/>
            <w:vAlign w:val="center"/>
          </w:tcPr>
          <w:p w14:paraId="757542B2" w14:textId="0747A9B1"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673,200</w:t>
            </w:r>
          </w:p>
        </w:tc>
        <w:tc>
          <w:tcPr>
            <w:tcW w:w="1315" w:type="dxa"/>
            <w:vAlign w:val="center"/>
          </w:tcPr>
          <w:p w14:paraId="5EA2212B" w14:textId="0D8A9705"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721,682</w:t>
            </w:r>
          </w:p>
        </w:tc>
        <w:tc>
          <w:tcPr>
            <w:tcW w:w="1315" w:type="dxa"/>
            <w:vAlign w:val="center"/>
          </w:tcPr>
          <w:p w14:paraId="0CDF5906" w14:textId="667EED70" w:rsidR="00C616B1" w:rsidRPr="00A52B68" w:rsidRDefault="00D1750F"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874,811</w:t>
            </w:r>
          </w:p>
        </w:tc>
        <w:tc>
          <w:tcPr>
            <w:tcW w:w="1315" w:type="dxa"/>
            <w:vAlign w:val="center"/>
          </w:tcPr>
          <w:p w14:paraId="7A4F5B7A" w14:textId="4B0CE348" w:rsidR="00C616B1" w:rsidRPr="00A52B68" w:rsidRDefault="00A1144A" w:rsidP="00CA686B">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1,048,8</w:t>
            </w:r>
            <w:r w:rsidR="00D1750F" w:rsidRPr="00A52B68">
              <w:rPr>
                <w:rFonts w:asciiTheme="minorHAnsi" w:hAnsiTheme="minorHAnsi" w:cstheme="minorHAnsi"/>
                <w:color w:val="000000" w:themeColor="text1"/>
                <w:sz w:val="18"/>
                <w:szCs w:val="18"/>
                <w:lang w:eastAsia="en-GB"/>
              </w:rPr>
              <w:t>49</w:t>
            </w:r>
          </w:p>
        </w:tc>
      </w:tr>
      <w:tr w:rsidR="00C616B1" w:rsidRPr="00C17BD1" w14:paraId="30A5CBAB" w14:textId="77777777" w:rsidTr="00A52B68">
        <w:trPr>
          <w:trHeight w:val="360"/>
          <w:jc w:val="center"/>
        </w:trPr>
        <w:tc>
          <w:tcPr>
            <w:tcW w:w="2676" w:type="dxa"/>
            <w:shd w:val="clear" w:color="000000" w:fill="FFFFFF"/>
            <w:noWrap/>
            <w:vAlign w:val="center"/>
            <w:hideMark/>
          </w:tcPr>
          <w:p w14:paraId="0B659D54" w14:textId="77777777" w:rsidR="00C616B1" w:rsidRPr="00A52B68" w:rsidRDefault="00C616B1" w:rsidP="00A63F65">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Total Liabilities</w:t>
            </w:r>
          </w:p>
        </w:tc>
        <w:tc>
          <w:tcPr>
            <w:tcW w:w="1315" w:type="dxa"/>
            <w:vAlign w:val="center"/>
          </w:tcPr>
          <w:p w14:paraId="64D64539" w14:textId="55093CA4"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285,055</w:t>
            </w:r>
          </w:p>
        </w:tc>
        <w:tc>
          <w:tcPr>
            <w:tcW w:w="1315" w:type="dxa"/>
            <w:vAlign w:val="center"/>
          </w:tcPr>
          <w:p w14:paraId="5451485A" w14:textId="6E361990"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317,148</w:t>
            </w:r>
          </w:p>
        </w:tc>
        <w:tc>
          <w:tcPr>
            <w:tcW w:w="1315" w:type="dxa"/>
            <w:vAlign w:val="center"/>
          </w:tcPr>
          <w:p w14:paraId="4D517E4F" w14:textId="2E67D288" w:rsidR="00C616B1" w:rsidRPr="00A52B68" w:rsidRDefault="00A1144A"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393,594</w:t>
            </w:r>
          </w:p>
        </w:tc>
        <w:tc>
          <w:tcPr>
            <w:tcW w:w="1315" w:type="dxa"/>
            <w:vAlign w:val="center"/>
          </w:tcPr>
          <w:p w14:paraId="1CEDC9F7" w14:textId="46B92E36" w:rsidR="00C616B1" w:rsidRPr="00A52B68" w:rsidRDefault="00A1144A" w:rsidP="00CA686B">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536,020</w:t>
            </w:r>
          </w:p>
        </w:tc>
      </w:tr>
      <w:tr w:rsidR="00C616B1" w:rsidRPr="00C17BD1" w14:paraId="0680530E" w14:textId="77777777" w:rsidTr="00A52B68">
        <w:trPr>
          <w:trHeight w:val="360"/>
          <w:jc w:val="center"/>
        </w:trPr>
        <w:tc>
          <w:tcPr>
            <w:tcW w:w="2676" w:type="dxa"/>
            <w:shd w:val="clear" w:color="000000" w:fill="FFFFFF"/>
            <w:noWrap/>
            <w:vAlign w:val="center"/>
            <w:hideMark/>
          </w:tcPr>
          <w:p w14:paraId="63833583" w14:textId="77777777" w:rsidR="00C616B1" w:rsidRPr="00A52B68" w:rsidRDefault="00C616B1" w:rsidP="00A63F65">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Shareholders' Funds</w:t>
            </w:r>
          </w:p>
        </w:tc>
        <w:tc>
          <w:tcPr>
            <w:tcW w:w="1315" w:type="dxa"/>
            <w:vAlign w:val="center"/>
          </w:tcPr>
          <w:p w14:paraId="7B2DBC83" w14:textId="2250F7A7"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388,145</w:t>
            </w:r>
          </w:p>
        </w:tc>
        <w:tc>
          <w:tcPr>
            <w:tcW w:w="1315" w:type="dxa"/>
            <w:vAlign w:val="center"/>
          </w:tcPr>
          <w:p w14:paraId="3BA8CCFD" w14:textId="2A28D21F" w:rsidR="00C616B1" w:rsidRPr="00A52B68" w:rsidRDefault="00C616B1" w:rsidP="00A63F65">
            <w:pPr>
              <w:jc w:val="right"/>
              <w:rPr>
                <w:rFonts w:asciiTheme="minorHAnsi" w:hAnsiTheme="minorHAnsi" w:cstheme="minorHAnsi"/>
                <w:color w:val="FF0000"/>
                <w:sz w:val="18"/>
                <w:szCs w:val="18"/>
                <w:lang w:eastAsia="en-GB"/>
              </w:rPr>
            </w:pPr>
            <w:r w:rsidRPr="00A52B68">
              <w:rPr>
                <w:rFonts w:asciiTheme="minorHAnsi" w:hAnsiTheme="minorHAnsi" w:cstheme="minorHAnsi"/>
                <w:color w:val="000000" w:themeColor="text1"/>
                <w:sz w:val="18"/>
                <w:szCs w:val="18"/>
                <w:lang w:eastAsia="en-GB"/>
              </w:rPr>
              <w:t>404,534</w:t>
            </w:r>
          </w:p>
        </w:tc>
        <w:tc>
          <w:tcPr>
            <w:tcW w:w="1315" w:type="dxa"/>
            <w:vAlign w:val="center"/>
          </w:tcPr>
          <w:p w14:paraId="55CCDD0D" w14:textId="60047403" w:rsidR="00C616B1" w:rsidRPr="00A52B68" w:rsidRDefault="002E1E14" w:rsidP="00A63F65">
            <w:pPr>
              <w:jc w:val="right"/>
              <w:rPr>
                <w:rFonts w:asciiTheme="minorHAnsi" w:hAnsiTheme="minorHAnsi" w:cstheme="minorHAnsi"/>
                <w:color w:val="FF0000"/>
                <w:sz w:val="18"/>
                <w:szCs w:val="18"/>
                <w:lang w:eastAsia="en-GB"/>
              </w:rPr>
            </w:pPr>
            <w:r w:rsidRPr="00A52B68">
              <w:rPr>
                <w:rFonts w:asciiTheme="minorHAnsi" w:hAnsiTheme="minorHAnsi" w:cstheme="minorHAnsi"/>
                <w:color w:val="000000" w:themeColor="text1"/>
                <w:sz w:val="18"/>
                <w:szCs w:val="18"/>
                <w:lang w:eastAsia="en-GB"/>
              </w:rPr>
              <w:t>481,217</w:t>
            </w:r>
          </w:p>
        </w:tc>
        <w:tc>
          <w:tcPr>
            <w:tcW w:w="1315" w:type="dxa"/>
            <w:vAlign w:val="center"/>
          </w:tcPr>
          <w:p w14:paraId="19E45DBA" w14:textId="0F0A2287" w:rsidR="00C616B1" w:rsidRPr="00A52B68" w:rsidRDefault="002E1E14" w:rsidP="00CA686B">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512,829</w:t>
            </w:r>
          </w:p>
        </w:tc>
      </w:tr>
      <w:tr w:rsidR="00C616B1" w:rsidRPr="00C17BD1" w14:paraId="5A58D44F" w14:textId="77777777" w:rsidTr="00A52B68">
        <w:trPr>
          <w:trHeight w:val="360"/>
          <w:jc w:val="center"/>
        </w:trPr>
        <w:tc>
          <w:tcPr>
            <w:tcW w:w="2676" w:type="dxa"/>
            <w:shd w:val="clear" w:color="000000" w:fill="FFFFFF"/>
            <w:noWrap/>
            <w:vAlign w:val="center"/>
          </w:tcPr>
          <w:p w14:paraId="03FEF12B" w14:textId="77777777" w:rsidR="00C616B1" w:rsidRPr="00A52B68" w:rsidRDefault="00C616B1" w:rsidP="00A63F65">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EBITDA %</w:t>
            </w:r>
          </w:p>
        </w:tc>
        <w:tc>
          <w:tcPr>
            <w:tcW w:w="1315" w:type="dxa"/>
            <w:vAlign w:val="center"/>
          </w:tcPr>
          <w:p w14:paraId="0E35A430" w14:textId="6104DD4E"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12%</w:t>
            </w:r>
          </w:p>
        </w:tc>
        <w:tc>
          <w:tcPr>
            <w:tcW w:w="1315" w:type="dxa"/>
            <w:vAlign w:val="center"/>
          </w:tcPr>
          <w:p w14:paraId="6676B11F" w14:textId="25E3714E"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w:t>
            </w:r>
            <w:r w:rsidR="002E1E14" w:rsidRPr="00A52B68">
              <w:rPr>
                <w:rFonts w:asciiTheme="minorHAnsi" w:hAnsiTheme="minorHAnsi" w:cstheme="minorHAnsi"/>
                <w:color w:val="000000" w:themeColor="text1"/>
                <w:sz w:val="18"/>
                <w:szCs w:val="18"/>
                <w:lang w:eastAsia="en-GB"/>
              </w:rPr>
              <w:t>4</w:t>
            </w:r>
            <w:r w:rsidRPr="00A52B68">
              <w:rPr>
                <w:rFonts w:asciiTheme="minorHAnsi" w:hAnsiTheme="minorHAnsi" w:cstheme="minorHAnsi"/>
                <w:color w:val="000000" w:themeColor="text1"/>
                <w:sz w:val="18"/>
                <w:szCs w:val="18"/>
                <w:lang w:eastAsia="en-GB"/>
              </w:rPr>
              <w:t>%</w:t>
            </w:r>
          </w:p>
        </w:tc>
        <w:tc>
          <w:tcPr>
            <w:tcW w:w="1315" w:type="dxa"/>
            <w:vAlign w:val="center"/>
          </w:tcPr>
          <w:p w14:paraId="7275DC6F" w14:textId="5773FC38"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16%</w:t>
            </w:r>
          </w:p>
        </w:tc>
        <w:tc>
          <w:tcPr>
            <w:tcW w:w="1315" w:type="dxa"/>
            <w:vAlign w:val="center"/>
          </w:tcPr>
          <w:p w14:paraId="529BFB9A" w14:textId="47E761AF" w:rsidR="002E1E14" w:rsidRPr="00A52B68" w:rsidRDefault="002E1E14" w:rsidP="002E1E14">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15%</w:t>
            </w:r>
          </w:p>
        </w:tc>
      </w:tr>
      <w:tr w:rsidR="00C616B1" w:rsidRPr="00C17BD1" w14:paraId="2E9C8D03" w14:textId="77777777" w:rsidTr="00A52B68">
        <w:trPr>
          <w:trHeight w:val="360"/>
          <w:jc w:val="center"/>
        </w:trPr>
        <w:tc>
          <w:tcPr>
            <w:tcW w:w="2676" w:type="dxa"/>
            <w:shd w:val="clear" w:color="000000" w:fill="FFFFFF"/>
            <w:noWrap/>
            <w:vAlign w:val="center"/>
          </w:tcPr>
          <w:p w14:paraId="1CD5CC5E" w14:textId="1EE8112B" w:rsidR="00C616B1" w:rsidRPr="00A52B68" w:rsidRDefault="00C616B1" w:rsidP="00A63F65">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NOPAT %</w:t>
            </w:r>
          </w:p>
        </w:tc>
        <w:tc>
          <w:tcPr>
            <w:tcW w:w="1315" w:type="dxa"/>
            <w:vAlign w:val="center"/>
          </w:tcPr>
          <w:p w14:paraId="028AA529" w14:textId="12AAF379"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9.4%</w:t>
            </w:r>
          </w:p>
        </w:tc>
        <w:tc>
          <w:tcPr>
            <w:tcW w:w="1315" w:type="dxa"/>
            <w:vAlign w:val="center"/>
          </w:tcPr>
          <w:p w14:paraId="510DFAAE" w14:textId="262A4383"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10.6%</w:t>
            </w:r>
          </w:p>
        </w:tc>
        <w:tc>
          <w:tcPr>
            <w:tcW w:w="1315" w:type="dxa"/>
            <w:vAlign w:val="center"/>
          </w:tcPr>
          <w:p w14:paraId="2056B875" w14:textId="217E8B7D"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12.</w:t>
            </w:r>
            <w:r w:rsidR="002E1E14" w:rsidRPr="00A52B68">
              <w:rPr>
                <w:rFonts w:asciiTheme="minorHAnsi" w:hAnsiTheme="minorHAnsi" w:cstheme="minorHAnsi"/>
                <w:color w:val="000000" w:themeColor="text1"/>
                <w:sz w:val="18"/>
                <w:szCs w:val="18"/>
                <w:lang w:eastAsia="en-GB"/>
              </w:rPr>
              <w:t>0</w:t>
            </w:r>
            <w:r w:rsidRPr="00A52B68">
              <w:rPr>
                <w:rFonts w:asciiTheme="minorHAnsi" w:hAnsiTheme="minorHAnsi" w:cstheme="minorHAnsi"/>
                <w:color w:val="000000" w:themeColor="text1"/>
                <w:sz w:val="18"/>
                <w:szCs w:val="18"/>
                <w:lang w:eastAsia="en-GB"/>
              </w:rPr>
              <w:t>%</w:t>
            </w:r>
          </w:p>
        </w:tc>
        <w:tc>
          <w:tcPr>
            <w:tcW w:w="1315" w:type="dxa"/>
            <w:vAlign w:val="center"/>
          </w:tcPr>
          <w:p w14:paraId="189CE0A1" w14:textId="7A718843" w:rsidR="00C616B1" w:rsidRPr="00A52B68" w:rsidRDefault="002E1E14" w:rsidP="00CA686B">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11.2%</w:t>
            </w:r>
          </w:p>
        </w:tc>
      </w:tr>
      <w:tr w:rsidR="00C616B1" w:rsidRPr="00C17BD1" w14:paraId="0AAA0C31" w14:textId="77777777" w:rsidTr="00A52B68">
        <w:trPr>
          <w:trHeight w:val="360"/>
          <w:jc w:val="center"/>
        </w:trPr>
        <w:tc>
          <w:tcPr>
            <w:tcW w:w="2676" w:type="dxa"/>
            <w:shd w:val="clear" w:color="000000" w:fill="FFFFFF"/>
            <w:noWrap/>
            <w:vAlign w:val="center"/>
            <w:hideMark/>
          </w:tcPr>
          <w:p w14:paraId="46DA7AD7" w14:textId="77777777" w:rsidR="00C616B1" w:rsidRPr="00A52B68" w:rsidRDefault="00C616B1" w:rsidP="00A63F65">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ROE %</w:t>
            </w:r>
          </w:p>
        </w:tc>
        <w:tc>
          <w:tcPr>
            <w:tcW w:w="1315" w:type="dxa"/>
            <w:vAlign w:val="center"/>
          </w:tcPr>
          <w:p w14:paraId="30E707C0" w14:textId="48ABAA6A"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 xml:space="preserve">25.1% </w:t>
            </w:r>
          </w:p>
        </w:tc>
        <w:tc>
          <w:tcPr>
            <w:tcW w:w="1315" w:type="dxa"/>
            <w:vAlign w:val="center"/>
          </w:tcPr>
          <w:p w14:paraId="46A76046" w14:textId="0EB9FF33"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32.</w:t>
            </w:r>
            <w:r w:rsidR="002E1E14" w:rsidRPr="00A52B68">
              <w:rPr>
                <w:rFonts w:asciiTheme="minorHAnsi" w:hAnsiTheme="minorHAnsi" w:cstheme="minorHAnsi"/>
                <w:color w:val="000000" w:themeColor="text1"/>
                <w:sz w:val="18"/>
                <w:szCs w:val="18"/>
                <w:lang w:eastAsia="en-GB"/>
              </w:rPr>
              <w:t>2</w:t>
            </w:r>
            <w:r w:rsidRPr="00A52B68">
              <w:rPr>
                <w:rFonts w:asciiTheme="minorHAnsi" w:hAnsiTheme="minorHAnsi" w:cstheme="minorHAnsi"/>
                <w:color w:val="000000" w:themeColor="text1"/>
                <w:sz w:val="18"/>
                <w:szCs w:val="18"/>
                <w:lang w:eastAsia="en-GB"/>
              </w:rPr>
              <w:t>%</w:t>
            </w:r>
          </w:p>
        </w:tc>
        <w:tc>
          <w:tcPr>
            <w:tcW w:w="1315" w:type="dxa"/>
            <w:vAlign w:val="center"/>
          </w:tcPr>
          <w:p w14:paraId="1E2532ED" w14:textId="175777DA"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2</w:t>
            </w:r>
            <w:r w:rsidR="002E1E14" w:rsidRPr="00A52B68">
              <w:rPr>
                <w:rFonts w:asciiTheme="minorHAnsi" w:hAnsiTheme="minorHAnsi" w:cstheme="minorHAnsi"/>
                <w:color w:val="000000" w:themeColor="text1"/>
                <w:sz w:val="18"/>
                <w:szCs w:val="18"/>
                <w:lang w:eastAsia="en-GB"/>
              </w:rPr>
              <w:t>6</w:t>
            </w:r>
            <w:r w:rsidRPr="00A52B68">
              <w:rPr>
                <w:rFonts w:asciiTheme="minorHAnsi" w:hAnsiTheme="minorHAnsi" w:cstheme="minorHAnsi"/>
                <w:color w:val="000000" w:themeColor="text1"/>
                <w:sz w:val="18"/>
                <w:szCs w:val="18"/>
                <w:lang w:eastAsia="en-GB"/>
              </w:rPr>
              <w:t>.</w:t>
            </w:r>
            <w:r w:rsidR="00F91AC5" w:rsidRPr="00A52B68">
              <w:rPr>
                <w:rFonts w:asciiTheme="minorHAnsi" w:hAnsiTheme="minorHAnsi" w:cstheme="minorHAnsi"/>
                <w:color w:val="000000" w:themeColor="text1"/>
                <w:sz w:val="18"/>
                <w:szCs w:val="18"/>
                <w:lang w:eastAsia="en-GB"/>
              </w:rPr>
              <w:t>0</w:t>
            </w:r>
            <w:r w:rsidRPr="00A52B68">
              <w:rPr>
                <w:rFonts w:asciiTheme="minorHAnsi" w:hAnsiTheme="minorHAnsi" w:cstheme="minorHAnsi"/>
                <w:color w:val="000000" w:themeColor="text1"/>
                <w:sz w:val="18"/>
                <w:szCs w:val="18"/>
                <w:lang w:eastAsia="en-GB"/>
              </w:rPr>
              <w:t>%</w:t>
            </w:r>
          </w:p>
        </w:tc>
        <w:tc>
          <w:tcPr>
            <w:tcW w:w="1315" w:type="dxa"/>
            <w:vAlign w:val="center"/>
          </w:tcPr>
          <w:p w14:paraId="3755CF87" w14:textId="2288EE31" w:rsidR="00C616B1" w:rsidRPr="00A52B68" w:rsidRDefault="00F91AC5" w:rsidP="00CA686B">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29.3%</w:t>
            </w:r>
          </w:p>
        </w:tc>
      </w:tr>
      <w:tr w:rsidR="00C616B1" w:rsidRPr="00C17BD1" w14:paraId="1005F5DF" w14:textId="77777777" w:rsidTr="00A52B68">
        <w:trPr>
          <w:trHeight w:val="360"/>
          <w:jc w:val="center"/>
        </w:trPr>
        <w:tc>
          <w:tcPr>
            <w:tcW w:w="2676" w:type="dxa"/>
            <w:shd w:val="clear" w:color="000000" w:fill="FFFFFF"/>
            <w:noWrap/>
            <w:vAlign w:val="center"/>
            <w:hideMark/>
          </w:tcPr>
          <w:p w14:paraId="38A265A1" w14:textId="77777777" w:rsidR="00C616B1" w:rsidRPr="00A52B68" w:rsidRDefault="00C616B1" w:rsidP="00A63F65">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ROA %</w:t>
            </w:r>
          </w:p>
        </w:tc>
        <w:tc>
          <w:tcPr>
            <w:tcW w:w="1315" w:type="dxa"/>
            <w:vAlign w:val="center"/>
          </w:tcPr>
          <w:p w14:paraId="53830A83" w14:textId="424BF7A4"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 xml:space="preserve">14.4% </w:t>
            </w:r>
          </w:p>
        </w:tc>
        <w:tc>
          <w:tcPr>
            <w:tcW w:w="1315" w:type="dxa"/>
            <w:vAlign w:val="center"/>
          </w:tcPr>
          <w:p w14:paraId="4921A34F" w14:textId="119D97E0" w:rsidR="00C616B1" w:rsidRPr="00A52B68" w:rsidRDefault="00C616B1" w:rsidP="00A63F65">
            <w:pPr>
              <w:jc w:val="right"/>
              <w:rPr>
                <w:rFonts w:asciiTheme="minorHAnsi" w:hAnsiTheme="minorHAnsi" w:cstheme="minorHAnsi"/>
                <w:color w:val="FF0000"/>
                <w:sz w:val="18"/>
                <w:szCs w:val="18"/>
                <w:lang w:eastAsia="en-GB"/>
              </w:rPr>
            </w:pPr>
            <w:r w:rsidRPr="00A52B68">
              <w:rPr>
                <w:rFonts w:asciiTheme="minorHAnsi" w:hAnsiTheme="minorHAnsi" w:cstheme="minorHAnsi"/>
                <w:color w:val="000000" w:themeColor="text1"/>
                <w:sz w:val="18"/>
                <w:szCs w:val="18"/>
                <w:lang w:eastAsia="en-GB"/>
              </w:rPr>
              <w:t>18.</w:t>
            </w:r>
            <w:r w:rsidR="00F91AC5" w:rsidRPr="00A52B68">
              <w:rPr>
                <w:rFonts w:asciiTheme="minorHAnsi" w:hAnsiTheme="minorHAnsi" w:cstheme="minorHAnsi"/>
                <w:color w:val="000000" w:themeColor="text1"/>
                <w:sz w:val="18"/>
                <w:szCs w:val="18"/>
                <w:lang w:eastAsia="en-GB"/>
              </w:rPr>
              <w:t>1</w:t>
            </w:r>
            <w:r w:rsidRPr="00A52B68">
              <w:rPr>
                <w:rFonts w:asciiTheme="minorHAnsi" w:hAnsiTheme="minorHAnsi" w:cstheme="minorHAnsi"/>
                <w:color w:val="000000" w:themeColor="text1"/>
                <w:sz w:val="18"/>
                <w:szCs w:val="18"/>
                <w:lang w:eastAsia="en-GB"/>
              </w:rPr>
              <w:t>%</w:t>
            </w:r>
          </w:p>
        </w:tc>
        <w:tc>
          <w:tcPr>
            <w:tcW w:w="1315" w:type="dxa"/>
            <w:vAlign w:val="center"/>
          </w:tcPr>
          <w:p w14:paraId="2A82F507" w14:textId="65D83042" w:rsidR="00C616B1" w:rsidRPr="00A52B68" w:rsidRDefault="00F91AC5" w:rsidP="00A63F65">
            <w:pPr>
              <w:jc w:val="right"/>
              <w:rPr>
                <w:rFonts w:asciiTheme="minorHAnsi" w:hAnsiTheme="minorHAnsi" w:cstheme="minorHAnsi"/>
                <w:color w:val="FF0000"/>
                <w:sz w:val="18"/>
                <w:szCs w:val="18"/>
                <w:lang w:eastAsia="en-GB"/>
              </w:rPr>
            </w:pPr>
            <w:r w:rsidRPr="00A52B68">
              <w:rPr>
                <w:rFonts w:asciiTheme="minorHAnsi" w:hAnsiTheme="minorHAnsi" w:cstheme="minorHAnsi"/>
                <w:color w:val="000000" w:themeColor="text1"/>
                <w:sz w:val="18"/>
                <w:szCs w:val="18"/>
                <w:lang w:eastAsia="en-GB"/>
              </w:rPr>
              <w:t>14.3</w:t>
            </w:r>
            <w:r w:rsidR="00C616B1" w:rsidRPr="00A52B68">
              <w:rPr>
                <w:rFonts w:asciiTheme="minorHAnsi" w:hAnsiTheme="minorHAnsi" w:cstheme="minorHAnsi"/>
                <w:color w:val="000000" w:themeColor="text1"/>
                <w:sz w:val="18"/>
                <w:szCs w:val="18"/>
                <w:lang w:eastAsia="en-GB"/>
              </w:rPr>
              <w:t>%</w:t>
            </w:r>
          </w:p>
        </w:tc>
        <w:tc>
          <w:tcPr>
            <w:tcW w:w="1315" w:type="dxa"/>
            <w:vAlign w:val="center"/>
          </w:tcPr>
          <w:p w14:paraId="1AB6EDC9" w14:textId="659546F6" w:rsidR="00C616B1" w:rsidRPr="00A52B68" w:rsidRDefault="00F91AC5" w:rsidP="00CA686B">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14.3%</w:t>
            </w:r>
          </w:p>
        </w:tc>
      </w:tr>
      <w:tr w:rsidR="00C616B1" w:rsidRPr="00C17BD1" w14:paraId="2F94B8A9" w14:textId="77777777" w:rsidTr="00A52B68">
        <w:trPr>
          <w:trHeight w:val="360"/>
          <w:jc w:val="center"/>
        </w:trPr>
        <w:tc>
          <w:tcPr>
            <w:tcW w:w="2676" w:type="dxa"/>
            <w:shd w:val="clear" w:color="000000" w:fill="FFFFFF"/>
            <w:noWrap/>
            <w:vAlign w:val="center"/>
          </w:tcPr>
          <w:p w14:paraId="4FB62AA7" w14:textId="77777777" w:rsidR="00C616B1" w:rsidRPr="00A52B68" w:rsidRDefault="00C616B1" w:rsidP="00A63F65">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Current Assets / Current liabilities</w:t>
            </w:r>
          </w:p>
        </w:tc>
        <w:tc>
          <w:tcPr>
            <w:tcW w:w="1315" w:type="dxa"/>
            <w:vAlign w:val="center"/>
          </w:tcPr>
          <w:p w14:paraId="0FE0C615" w14:textId="2BF990D1"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 xml:space="preserve">0.76 </w:t>
            </w:r>
          </w:p>
        </w:tc>
        <w:tc>
          <w:tcPr>
            <w:tcW w:w="1315" w:type="dxa"/>
            <w:vAlign w:val="center"/>
          </w:tcPr>
          <w:p w14:paraId="1A8F1CD1" w14:textId="1FBBABA2"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0.95</w:t>
            </w:r>
          </w:p>
        </w:tc>
        <w:tc>
          <w:tcPr>
            <w:tcW w:w="1315" w:type="dxa"/>
            <w:vAlign w:val="center"/>
          </w:tcPr>
          <w:p w14:paraId="7F5130B9" w14:textId="31C0438C"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1.1</w:t>
            </w:r>
            <w:r w:rsidR="00F91AC5" w:rsidRPr="00A52B68">
              <w:rPr>
                <w:rFonts w:asciiTheme="minorHAnsi" w:hAnsiTheme="minorHAnsi" w:cstheme="minorHAnsi"/>
                <w:color w:val="000000" w:themeColor="text1"/>
                <w:sz w:val="18"/>
                <w:szCs w:val="18"/>
                <w:lang w:eastAsia="en-GB"/>
              </w:rPr>
              <w:t>1</w:t>
            </w:r>
          </w:p>
        </w:tc>
        <w:tc>
          <w:tcPr>
            <w:tcW w:w="1315" w:type="dxa"/>
            <w:vAlign w:val="center"/>
          </w:tcPr>
          <w:p w14:paraId="32F10514" w14:textId="0F30086B" w:rsidR="00C616B1" w:rsidRPr="00A52B68" w:rsidRDefault="00F91AC5" w:rsidP="00CA686B">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1.12</w:t>
            </w:r>
          </w:p>
        </w:tc>
      </w:tr>
      <w:tr w:rsidR="00C616B1" w:rsidRPr="00C17BD1" w14:paraId="38B3B905" w14:textId="77777777" w:rsidTr="00A52B68">
        <w:trPr>
          <w:trHeight w:val="360"/>
          <w:jc w:val="center"/>
        </w:trPr>
        <w:tc>
          <w:tcPr>
            <w:tcW w:w="2676" w:type="dxa"/>
            <w:shd w:val="clear" w:color="000000" w:fill="FFFFFF"/>
            <w:noWrap/>
            <w:vAlign w:val="center"/>
          </w:tcPr>
          <w:p w14:paraId="777CEC5B" w14:textId="77777777" w:rsidR="00C616B1" w:rsidRPr="00A52B68" w:rsidRDefault="00C616B1" w:rsidP="00A63F65">
            <w:pPr>
              <w:rPr>
                <w:rFonts w:asciiTheme="minorHAnsi" w:hAnsiTheme="minorHAnsi" w:cstheme="minorHAnsi"/>
                <w:sz w:val="18"/>
                <w:szCs w:val="18"/>
                <w:lang w:eastAsia="en-GB"/>
              </w:rPr>
            </w:pPr>
            <w:r w:rsidRPr="00A52B68">
              <w:rPr>
                <w:rFonts w:asciiTheme="minorHAnsi" w:hAnsiTheme="minorHAnsi" w:cstheme="minorHAnsi"/>
                <w:sz w:val="18"/>
                <w:szCs w:val="18"/>
                <w:lang w:eastAsia="en-GB"/>
              </w:rPr>
              <w:t>Quick Ratio</w:t>
            </w:r>
          </w:p>
        </w:tc>
        <w:tc>
          <w:tcPr>
            <w:tcW w:w="1315" w:type="dxa"/>
            <w:vAlign w:val="center"/>
          </w:tcPr>
          <w:p w14:paraId="6F10D8B3" w14:textId="3AE04DA8"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0.36</w:t>
            </w:r>
          </w:p>
        </w:tc>
        <w:tc>
          <w:tcPr>
            <w:tcW w:w="1315" w:type="dxa"/>
            <w:vAlign w:val="center"/>
          </w:tcPr>
          <w:p w14:paraId="0E844B69" w14:textId="6A12BBC0"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0.56</w:t>
            </w:r>
          </w:p>
        </w:tc>
        <w:tc>
          <w:tcPr>
            <w:tcW w:w="1315" w:type="dxa"/>
            <w:vAlign w:val="center"/>
          </w:tcPr>
          <w:p w14:paraId="044DA170" w14:textId="4A6E504F" w:rsidR="00C616B1" w:rsidRPr="00A52B68" w:rsidRDefault="00C616B1" w:rsidP="00A63F65">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0.84</w:t>
            </w:r>
          </w:p>
        </w:tc>
        <w:tc>
          <w:tcPr>
            <w:tcW w:w="1315" w:type="dxa"/>
            <w:vAlign w:val="center"/>
          </w:tcPr>
          <w:p w14:paraId="75191DED" w14:textId="40BFB4C2" w:rsidR="00C616B1" w:rsidRPr="00A52B68" w:rsidRDefault="00F91AC5" w:rsidP="00CA686B">
            <w:pPr>
              <w:jc w:val="right"/>
              <w:rPr>
                <w:rFonts w:asciiTheme="minorHAnsi" w:hAnsiTheme="minorHAnsi" w:cstheme="minorHAnsi"/>
                <w:color w:val="000000" w:themeColor="text1"/>
                <w:sz w:val="18"/>
                <w:szCs w:val="18"/>
                <w:lang w:eastAsia="en-GB"/>
              </w:rPr>
            </w:pPr>
            <w:r w:rsidRPr="00A52B68">
              <w:rPr>
                <w:rFonts w:asciiTheme="minorHAnsi" w:hAnsiTheme="minorHAnsi" w:cstheme="minorHAnsi"/>
                <w:color w:val="000000" w:themeColor="text1"/>
                <w:sz w:val="18"/>
                <w:szCs w:val="18"/>
                <w:lang w:eastAsia="en-GB"/>
              </w:rPr>
              <w:t>0.91</w:t>
            </w:r>
          </w:p>
        </w:tc>
      </w:tr>
      <w:tr w:rsidR="00C616B1" w:rsidRPr="00C17BD1" w14:paraId="1FB36CA5" w14:textId="77777777" w:rsidTr="00A52B68">
        <w:trPr>
          <w:trHeight w:val="360"/>
          <w:jc w:val="center"/>
        </w:trPr>
        <w:tc>
          <w:tcPr>
            <w:tcW w:w="2676" w:type="dxa"/>
            <w:shd w:val="clear" w:color="000000" w:fill="FFFFFF"/>
            <w:noWrap/>
            <w:vAlign w:val="center"/>
          </w:tcPr>
          <w:p w14:paraId="61CDC690" w14:textId="77777777" w:rsidR="00C616B1" w:rsidRPr="00084C8B" w:rsidRDefault="00C616B1" w:rsidP="00A63F65">
            <w:pPr>
              <w:rPr>
                <w:rFonts w:asciiTheme="minorHAnsi" w:hAnsiTheme="minorHAnsi" w:cstheme="minorHAnsi"/>
                <w:sz w:val="18"/>
                <w:szCs w:val="18"/>
                <w:lang w:eastAsia="en-GB"/>
              </w:rPr>
            </w:pPr>
            <w:r w:rsidRPr="00084C8B">
              <w:rPr>
                <w:rFonts w:asciiTheme="minorHAnsi" w:hAnsiTheme="minorHAnsi" w:cstheme="minorHAnsi"/>
                <w:sz w:val="18"/>
                <w:szCs w:val="18"/>
                <w:lang w:eastAsia="en-GB"/>
              </w:rPr>
              <w:t>Accounts Receivable Days</w:t>
            </w:r>
          </w:p>
        </w:tc>
        <w:tc>
          <w:tcPr>
            <w:tcW w:w="1315" w:type="dxa"/>
            <w:vAlign w:val="center"/>
          </w:tcPr>
          <w:p w14:paraId="2CE46FF1" w14:textId="62EEDEA6" w:rsidR="00C616B1" w:rsidRPr="00084C8B" w:rsidRDefault="00C616B1" w:rsidP="00A63F65">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19</w:t>
            </w:r>
          </w:p>
        </w:tc>
        <w:tc>
          <w:tcPr>
            <w:tcW w:w="1315" w:type="dxa"/>
            <w:vAlign w:val="center"/>
          </w:tcPr>
          <w:p w14:paraId="2E4762AC" w14:textId="7C289364" w:rsidR="00C616B1" w:rsidRPr="00084C8B" w:rsidRDefault="00C616B1" w:rsidP="00A63F65">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31</w:t>
            </w:r>
          </w:p>
        </w:tc>
        <w:tc>
          <w:tcPr>
            <w:tcW w:w="1315" w:type="dxa"/>
            <w:vAlign w:val="center"/>
          </w:tcPr>
          <w:p w14:paraId="03A12A98" w14:textId="04DBB4B7" w:rsidR="00C616B1" w:rsidRPr="00084C8B" w:rsidRDefault="00C616B1" w:rsidP="00A63F65">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81</w:t>
            </w:r>
          </w:p>
        </w:tc>
        <w:tc>
          <w:tcPr>
            <w:tcW w:w="1315" w:type="dxa"/>
            <w:vAlign w:val="center"/>
          </w:tcPr>
          <w:p w14:paraId="4BB668A3" w14:textId="15863FAF" w:rsidR="00C616B1" w:rsidRPr="00084C8B" w:rsidRDefault="00F91AC5" w:rsidP="00CA686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98</w:t>
            </w:r>
          </w:p>
        </w:tc>
      </w:tr>
      <w:tr w:rsidR="00C616B1" w:rsidRPr="00C17BD1" w14:paraId="6D42D2E4" w14:textId="77777777" w:rsidTr="00A52B68">
        <w:trPr>
          <w:trHeight w:val="360"/>
          <w:jc w:val="center"/>
        </w:trPr>
        <w:tc>
          <w:tcPr>
            <w:tcW w:w="2676" w:type="dxa"/>
            <w:shd w:val="clear" w:color="000000" w:fill="FFFFFF"/>
            <w:noWrap/>
            <w:vAlign w:val="center"/>
          </w:tcPr>
          <w:p w14:paraId="415BA5F8" w14:textId="77777777" w:rsidR="00C616B1" w:rsidRPr="00084C8B" w:rsidRDefault="00C616B1" w:rsidP="00A63F65">
            <w:pPr>
              <w:rPr>
                <w:rFonts w:asciiTheme="minorHAnsi" w:hAnsiTheme="minorHAnsi" w:cstheme="minorHAnsi"/>
                <w:sz w:val="18"/>
                <w:szCs w:val="18"/>
                <w:lang w:eastAsia="en-GB"/>
              </w:rPr>
            </w:pPr>
            <w:r w:rsidRPr="00084C8B">
              <w:rPr>
                <w:rFonts w:asciiTheme="minorHAnsi" w:hAnsiTheme="minorHAnsi" w:cstheme="minorHAnsi"/>
                <w:sz w:val="18"/>
                <w:szCs w:val="18"/>
                <w:lang w:eastAsia="en-GB"/>
              </w:rPr>
              <w:t>Assets Turnover</w:t>
            </w:r>
          </w:p>
        </w:tc>
        <w:tc>
          <w:tcPr>
            <w:tcW w:w="1315" w:type="dxa"/>
            <w:vAlign w:val="center"/>
          </w:tcPr>
          <w:p w14:paraId="74AA4958" w14:textId="4448AC81" w:rsidR="00C616B1" w:rsidRPr="00084C8B" w:rsidRDefault="00C616B1" w:rsidP="00A63F65">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1.59</w:t>
            </w:r>
          </w:p>
        </w:tc>
        <w:tc>
          <w:tcPr>
            <w:tcW w:w="1315" w:type="dxa"/>
            <w:vAlign w:val="center"/>
          </w:tcPr>
          <w:p w14:paraId="73FB057D" w14:textId="7BC33CFC" w:rsidR="00C616B1" w:rsidRPr="00084C8B" w:rsidRDefault="00C616B1" w:rsidP="00A63F65">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1.74</w:t>
            </w:r>
          </w:p>
        </w:tc>
        <w:tc>
          <w:tcPr>
            <w:tcW w:w="1315" w:type="dxa"/>
            <w:vAlign w:val="center"/>
          </w:tcPr>
          <w:p w14:paraId="000E89EB" w14:textId="34454C98" w:rsidR="00C616B1" w:rsidRPr="00084C8B" w:rsidRDefault="00C616B1" w:rsidP="00A63F65">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1.32</w:t>
            </w:r>
          </w:p>
        </w:tc>
        <w:tc>
          <w:tcPr>
            <w:tcW w:w="1315" w:type="dxa"/>
            <w:vAlign w:val="center"/>
          </w:tcPr>
          <w:p w14:paraId="337CD0C5" w14:textId="5A45E1CF" w:rsidR="00C616B1" w:rsidRPr="00084C8B" w:rsidRDefault="00F91AC5" w:rsidP="00CA686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1.37</w:t>
            </w:r>
          </w:p>
        </w:tc>
      </w:tr>
      <w:tr w:rsidR="00C616B1" w:rsidRPr="00C17BD1" w14:paraId="69AE84BD" w14:textId="77777777" w:rsidTr="00A52B68">
        <w:trPr>
          <w:trHeight w:val="360"/>
          <w:jc w:val="center"/>
        </w:trPr>
        <w:tc>
          <w:tcPr>
            <w:tcW w:w="2676" w:type="dxa"/>
            <w:shd w:val="clear" w:color="000000" w:fill="FFFFFF"/>
            <w:noWrap/>
            <w:vAlign w:val="center"/>
            <w:hideMark/>
          </w:tcPr>
          <w:p w14:paraId="37A17542" w14:textId="77777777" w:rsidR="00C616B1" w:rsidRPr="00084C8B" w:rsidRDefault="00C616B1" w:rsidP="00A63F65">
            <w:pPr>
              <w:rPr>
                <w:rFonts w:asciiTheme="minorHAnsi" w:hAnsiTheme="minorHAnsi" w:cstheme="minorHAnsi"/>
                <w:sz w:val="18"/>
                <w:szCs w:val="18"/>
                <w:lang w:eastAsia="en-GB"/>
              </w:rPr>
            </w:pPr>
            <w:r w:rsidRPr="00084C8B">
              <w:rPr>
                <w:rFonts w:asciiTheme="minorHAnsi" w:hAnsiTheme="minorHAnsi" w:cstheme="minorHAnsi"/>
                <w:sz w:val="18"/>
                <w:szCs w:val="18"/>
                <w:lang w:eastAsia="en-GB"/>
              </w:rPr>
              <w:t>Debt / Equity Ratio</w:t>
            </w:r>
          </w:p>
        </w:tc>
        <w:tc>
          <w:tcPr>
            <w:tcW w:w="1315" w:type="dxa"/>
            <w:vAlign w:val="center"/>
          </w:tcPr>
          <w:p w14:paraId="1F8E67E3" w14:textId="55042C93" w:rsidR="00C616B1" w:rsidRPr="00084C8B" w:rsidRDefault="00C616B1" w:rsidP="00A63F65">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 xml:space="preserve">0.05 </w:t>
            </w:r>
          </w:p>
        </w:tc>
        <w:tc>
          <w:tcPr>
            <w:tcW w:w="1315" w:type="dxa"/>
            <w:vAlign w:val="center"/>
          </w:tcPr>
          <w:p w14:paraId="481C2557" w14:textId="654C1C52" w:rsidR="00C616B1" w:rsidRPr="00084C8B" w:rsidRDefault="00C616B1" w:rsidP="00A63F65">
            <w:pPr>
              <w:jc w:val="right"/>
              <w:rPr>
                <w:rFonts w:asciiTheme="minorHAnsi" w:hAnsiTheme="minorHAnsi" w:cstheme="minorHAnsi"/>
                <w:color w:val="FF0000"/>
                <w:sz w:val="18"/>
                <w:szCs w:val="18"/>
                <w:lang w:eastAsia="en-GB"/>
              </w:rPr>
            </w:pPr>
            <w:r w:rsidRPr="00084C8B">
              <w:rPr>
                <w:rFonts w:asciiTheme="minorHAnsi" w:hAnsiTheme="minorHAnsi" w:cstheme="minorHAnsi"/>
                <w:color w:val="000000" w:themeColor="text1"/>
                <w:sz w:val="18"/>
                <w:szCs w:val="18"/>
                <w:lang w:eastAsia="en-GB"/>
              </w:rPr>
              <w:t>0.04</w:t>
            </w:r>
          </w:p>
        </w:tc>
        <w:tc>
          <w:tcPr>
            <w:tcW w:w="1315" w:type="dxa"/>
            <w:vAlign w:val="center"/>
          </w:tcPr>
          <w:p w14:paraId="7AD15591" w14:textId="5321882B" w:rsidR="00C616B1" w:rsidRPr="00084C8B" w:rsidRDefault="00C616B1" w:rsidP="00A63F65">
            <w:pPr>
              <w:jc w:val="right"/>
              <w:rPr>
                <w:rFonts w:asciiTheme="minorHAnsi" w:hAnsiTheme="minorHAnsi" w:cstheme="minorHAnsi"/>
                <w:color w:val="FF0000"/>
                <w:sz w:val="18"/>
                <w:szCs w:val="18"/>
                <w:lang w:eastAsia="en-GB"/>
              </w:rPr>
            </w:pPr>
            <w:r w:rsidRPr="00084C8B">
              <w:rPr>
                <w:rFonts w:asciiTheme="minorHAnsi" w:hAnsiTheme="minorHAnsi" w:cstheme="minorHAnsi"/>
                <w:color w:val="000000" w:themeColor="text1"/>
                <w:sz w:val="18"/>
                <w:szCs w:val="18"/>
                <w:lang w:eastAsia="en-GB"/>
              </w:rPr>
              <w:t>0</w:t>
            </w:r>
            <w:r w:rsidR="00F91AC5" w:rsidRPr="00084C8B">
              <w:rPr>
                <w:rFonts w:asciiTheme="minorHAnsi" w:hAnsiTheme="minorHAnsi" w:cstheme="minorHAnsi"/>
                <w:color w:val="000000" w:themeColor="text1"/>
                <w:sz w:val="18"/>
                <w:szCs w:val="18"/>
                <w:lang w:eastAsia="en-GB"/>
              </w:rPr>
              <w:t>.03</w:t>
            </w:r>
          </w:p>
        </w:tc>
        <w:tc>
          <w:tcPr>
            <w:tcW w:w="1315" w:type="dxa"/>
            <w:vAlign w:val="center"/>
          </w:tcPr>
          <w:p w14:paraId="04E56912" w14:textId="45F495BF" w:rsidR="00C616B1" w:rsidRPr="00084C8B" w:rsidRDefault="00F91AC5" w:rsidP="00CA686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0.02</w:t>
            </w:r>
          </w:p>
        </w:tc>
      </w:tr>
    </w:tbl>
    <w:p w14:paraId="67272631" w14:textId="77777777" w:rsidR="00E36BE6" w:rsidRPr="00D25BE7" w:rsidRDefault="00E36BE6" w:rsidP="00E36BE6">
      <w:pPr>
        <w:rPr>
          <w:rFonts w:asciiTheme="minorHAnsi" w:hAnsiTheme="minorHAnsi"/>
        </w:rPr>
      </w:pPr>
      <w:r w:rsidRPr="00D25BE7">
        <w:rPr>
          <w:rFonts w:asciiTheme="minorHAnsi" w:hAnsiTheme="minorHAnsi"/>
        </w:rPr>
        <w:t xml:space="preserve"> </w:t>
      </w:r>
    </w:p>
    <w:p w14:paraId="12428E54" w14:textId="77777777" w:rsidR="00FC65C2" w:rsidRDefault="00FC65C2" w:rsidP="00E36BE6">
      <w:pPr>
        <w:rPr>
          <w:rFonts w:asciiTheme="minorHAnsi" w:hAnsiTheme="minorHAnsi"/>
        </w:rPr>
      </w:pPr>
    </w:p>
    <w:p w14:paraId="1E5AF799" w14:textId="77777777" w:rsidR="00FC65C2" w:rsidRDefault="00FC65C2" w:rsidP="00E36BE6">
      <w:pPr>
        <w:rPr>
          <w:rFonts w:asciiTheme="minorHAnsi" w:hAnsiTheme="minorHAnsi"/>
        </w:rPr>
      </w:pPr>
    </w:p>
    <w:p w14:paraId="22D95C36" w14:textId="0232BB70" w:rsidR="00FC65C2" w:rsidRPr="00084C8B" w:rsidRDefault="00FC65C2" w:rsidP="00E36BE6">
      <w:pPr>
        <w:rPr>
          <w:rFonts w:asciiTheme="minorHAnsi" w:hAnsiTheme="minorHAnsi"/>
          <w:b/>
          <w:sz w:val="20"/>
        </w:rPr>
      </w:pPr>
      <w:r w:rsidRPr="00084C8B">
        <w:rPr>
          <w:rFonts w:asciiTheme="minorHAnsi" w:hAnsiTheme="minorHAnsi"/>
          <w:b/>
          <w:sz w:val="20"/>
        </w:rPr>
        <w:t>Figure 8. Other SOE Assets v Equity</w:t>
      </w:r>
    </w:p>
    <w:p w14:paraId="07B33CDE" w14:textId="77777777" w:rsidR="00FC65C2" w:rsidRPr="00D25BE7" w:rsidRDefault="00FC65C2" w:rsidP="00E36BE6">
      <w:pPr>
        <w:rPr>
          <w:rFonts w:asciiTheme="minorHAnsi" w:hAnsiTheme="minorHAnsi"/>
        </w:rPr>
      </w:pPr>
    </w:p>
    <w:p w14:paraId="7F1EF4FD" w14:textId="34783EB5" w:rsidR="000232EB" w:rsidRDefault="006B1F90" w:rsidP="00A60749">
      <w:pPr>
        <w:rPr>
          <w:rFonts w:asciiTheme="minorHAnsi" w:hAnsiTheme="minorHAnsi"/>
          <w:color w:val="000000" w:themeColor="text1"/>
          <w:lang w:val="en-GB"/>
        </w:rPr>
      </w:pPr>
      <w:bookmarkStart w:id="13" w:name="OLE_LINK1"/>
      <w:r w:rsidRPr="00D25BE7">
        <w:rPr>
          <w:noProof/>
        </w:rPr>
        <w:lastRenderedPageBreak/>
        <w:drawing>
          <wp:inline distT="0" distB="0" distL="0" distR="0" wp14:anchorId="040A824B" wp14:editId="0F503D48">
            <wp:extent cx="4990465" cy="2514600"/>
            <wp:effectExtent l="25400" t="25400" r="89535" b="10160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D1DC367" w14:textId="77777777" w:rsidR="002D207E" w:rsidRPr="00D8583C" w:rsidRDefault="002D207E" w:rsidP="002D207E">
      <w:pPr>
        <w:rPr>
          <w:rFonts w:asciiTheme="minorHAnsi" w:hAnsiTheme="minorHAnsi"/>
          <w:i/>
          <w:sz w:val="20"/>
          <w:lang w:val="en-GB"/>
        </w:rPr>
      </w:pPr>
      <w:r w:rsidRPr="00D8583C">
        <w:rPr>
          <w:rFonts w:asciiTheme="minorHAnsi" w:hAnsiTheme="minorHAnsi"/>
          <w:i/>
          <w:sz w:val="20"/>
          <w:lang w:val="en-GB"/>
        </w:rPr>
        <w:t>Source: SOE AFS Various Years</w:t>
      </w:r>
    </w:p>
    <w:p w14:paraId="4CA47B5F" w14:textId="77777777" w:rsidR="002D207E" w:rsidRPr="00A60749" w:rsidRDefault="002D207E" w:rsidP="00A60749">
      <w:pPr>
        <w:rPr>
          <w:rFonts w:asciiTheme="minorHAnsi" w:hAnsiTheme="minorHAnsi"/>
          <w:color w:val="000000" w:themeColor="text1"/>
          <w:lang w:val="en-GB"/>
        </w:rPr>
      </w:pPr>
    </w:p>
    <w:p w14:paraId="6699914B" w14:textId="20A04FF1" w:rsidR="001D24F1" w:rsidRPr="00D25BE7" w:rsidRDefault="00876AAA" w:rsidP="00002AF4">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 xml:space="preserve">The </w:t>
      </w:r>
      <w:r w:rsidR="000F7CD6" w:rsidRPr="00D25BE7">
        <w:rPr>
          <w:rFonts w:asciiTheme="minorHAnsi" w:hAnsiTheme="minorHAnsi"/>
          <w:color w:val="000000" w:themeColor="text1"/>
          <w:lang w:val="en-GB"/>
        </w:rPr>
        <w:t xml:space="preserve">value of Government’s share of its investments in these SOEs (based on proportion of shareholders equity) is </w:t>
      </w:r>
      <w:r w:rsidR="00500DC8">
        <w:rPr>
          <w:rFonts w:asciiTheme="minorHAnsi" w:hAnsiTheme="minorHAnsi"/>
          <w:color w:val="000000" w:themeColor="text1"/>
          <w:lang w:val="en-GB"/>
        </w:rPr>
        <w:t xml:space="preserve">approximately </w:t>
      </w:r>
      <w:r w:rsidR="000F7CD6" w:rsidRPr="00D25BE7">
        <w:rPr>
          <w:rFonts w:asciiTheme="minorHAnsi" w:hAnsiTheme="minorHAnsi"/>
          <w:color w:val="000000" w:themeColor="text1"/>
          <w:lang w:val="en-GB"/>
        </w:rPr>
        <w:t>US$</w:t>
      </w:r>
      <w:r w:rsidR="00500DC8">
        <w:rPr>
          <w:rFonts w:asciiTheme="minorHAnsi" w:hAnsiTheme="minorHAnsi"/>
          <w:color w:val="000000" w:themeColor="text1"/>
          <w:lang w:val="en-GB"/>
        </w:rPr>
        <w:t>20</w:t>
      </w:r>
      <w:r w:rsidR="00500DC8" w:rsidRPr="00D25BE7" w:rsidDel="00500DC8">
        <w:rPr>
          <w:rFonts w:asciiTheme="minorHAnsi" w:hAnsiTheme="minorHAnsi"/>
          <w:color w:val="000000" w:themeColor="text1"/>
          <w:lang w:val="en-GB"/>
        </w:rPr>
        <w:t xml:space="preserve"> </w:t>
      </w:r>
      <w:r w:rsidR="00500DC8">
        <w:rPr>
          <w:rFonts w:asciiTheme="minorHAnsi" w:hAnsiTheme="minorHAnsi"/>
          <w:color w:val="000000" w:themeColor="text1"/>
          <w:lang w:val="en-GB"/>
        </w:rPr>
        <w:t>million</w:t>
      </w:r>
    </w:p>
    <w:p w14:paraId="1F3386F1" w14:textId="59DE22BA" w:rsidR="009C433E" w:rsidRPr="00D25BE7" w:rsidRDefault="00FE1466" w:rsidP="009C433E">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 xml:space="preserve">While the </w:t>
      </w:r>
      <w:r w:rsidR="00F53A49" w:rsidRPr="00D25BE7">
        <w:rPr>
          <w:rFonts w:asciiTheme="minorHAnsi" w:hAnsiTheme="minorHAnsi"/>
          <w:color w:val="000000" w:themeColor="text1"/>
          <w:lang w:val="en-GB"/>
        </w:rPr>
        <w:t xml:space="preserve">performance </w:t>
      </w:r>
      <w:r w:rsidRPr="00D25BE7">
        <w:rPr>
          <w:rFonts w:asciiTheme="minorHAnsi" w:hAnsiTheme="minorHAnsi"/>
          <w:color w:val="000000" w:themeColor="text1"/>
          <w:lang w:val="en-GB"/>
        </w:rPr>
        <w:t xml:space="preserve">indicators are </w:t>
      </w:r>
      <w:r w:rsidR="00F53A49" w:rsidRPr="00D25BE7">
        <w:rPr>
          <w:rFonts w:asciiTheme="minorHAnsi" w:hAnsiTheme="minorHAnsi"/>
          <w:color w:val="000000" w:themeColor="text1"/>
          <w:lang w:val="en-GB"/>
        </w:rPr>
        <w:t>strong</w:t>
      </w:r>
      <w:r w:rsidRPr="00D25BE7">
        <w:rPr>
          <w:rFonts w:asciiTheme="minorHAnsi" w:hAnsiTheme="minorHAnsi"/>
          <w:color w:val="000000" w:themeColor="text1"/>
          <w:lang w:val="en-GB"/>
        </w:rPr>
        <w:t>, there is concern about liquidity with low levels of liquid asset cover for obligations due.</w:t>
      </w:r>
      <w:bookmarkEnd w:id="13"/>
      <w:r w:rsidR="00F53A49" w:rsidRPr="00D25BE7">
        <w:rPr>
          <w:rFonts w:asciiTheme="minorHAnsi" w:hAnsiTheme="minorHAnsi"/>
          <w:color w:val="000000" w:themeColor="text1"/>
          <w:lang w:val="en-GB"/>
        </w:rPr>
        <w:t xml:space="preserve"> Neither </w:t>
      </w:r>
      <w:r w:rsidR="00500DC8">
        <w:rPr>
          <w:rFonts w:asciiTheme="minorHAnsi" w:hAnsiTheme="minorHAnsi"/>
          <w:color w:val="000000" w:themeColor="text1"/>
          <w:lang w:val="en-GB"/>
        </w:rPr>
        <w:t>MMB</w:t>
      </w:r>
      <w:r w:rsidR="00500DC8" w:rsidRPr="00D25BE7">
        <w:rPr>
          <w:rFonts w:asciiTheme="minorHAnsi" w:hAnsiTheme="minorHAnsi"/>
          <w:color w:val="000000" w:themeColor="text1"/>
          <w:lang w:val="en-GB"/>
        </w:rPr>
        <w:t xml:space="preserve"> </w:t>
      </w:r>
      <w:r w:rsidR="002D207E">
        <w:rPr>
          <w:rFonts w:asciiTheme="minorHAnsi" w:hAnsiTheme="minorHAnsi"/>
          <w:color w:val="000000" w:themeColor="text1"/>
          <w:lang w:val="en-GB"/>
        </w:rPr>
        <w:t>n</w:t>
      </w:r>
      <w:r w:rsidR="00F53A49" w:rsidRPr="00D25BE7">
        <w:rPr>
          <w:rFonts w:asciiTheme="minorHAnsi" w:hAnsiTheme="minorHAnsi"/>
          <w:color w:val="000000" w:themeColor="text1"/>
          <w:lang w:val="en-GB"/>
        </w:rPr>
        <w:t>or MHG (</w:t>
      </w:r>
      <w:proofErr w:type="spellStart"/>
      <w:r w:rsidR="00F53A49" w:rsidRPr="00D25BE7">
        <w:rPr>
          <w:rFonts w:asciiTheme="minorHAnsi" w:hAnsiTheme="minorHAnsi"/>
          <w:color w:val="000000" w:themeColor="text1"/>
          <w:lang w:val="en-GB"/>
        </w:rPr>
        <w:t>Avani</w:t>
      </w:r>
      <w:proofErr w:type="spellEnd"/>
      <w:r w:rsidR="00F53A49" w:rsidRPr="00D25BE7">
        <w:rPr>
          <w:rFonts w:asciiTheme="minorHAnsi" w:hAnsiTheme="minorHAnsi"/>
          <w:color w:val="000000" w:themeColor="text1"/>
          <w:lang w:val="en-GB"/>
        </w:rPr>
        <w:t>) operate with any significant level of debt</w:t>
      </w:r>
      <w:r w:rsidR="00900C6C" w:rsidRPr="00D25BE7">
        <w:rPr>
          <w:rFonts w:asciiTheme="minorHAnsi" w:hAnsiTheme="minorHAnsi"/>
          <w:color w:val="000000" w:themeColor="text1"/>
          <w:lang w:val="en-GB"/>
        </w:rPr>
        <w:t>.</w:t>
      </w:r>
    </w:p>
    <w:p w14:paraId="7BAF7F2C" w14:textId="059F2EF1" w:rsidR="009C433E" w:rsidRPr="00D25BE7" w:rsidRDefault="000348E8" w:rsidP="009C433E">
      <w:pPr>
        <w:pStyle w:val="Heading1"/>
        <w:rPr>
          <w:rFonts w:asciiTheme="minorHAnsi" w:hAnsiTheme="minorHAnsi"/>
        </w:rPr>
      </w:pPr>
      <w:bookmarkStart w:id="14" w:name="_Toc455467803"/>
      <w:r w:rsidRPr="00D25BE7">
        <w:rPr>
          <w:rFonts w:asciiTheme="minorHAnsi" w:hAnsiTheme="minorHAnsi"/>
        </w:rPr>
        <w:t>GOVERNMENT MINORITY HOLDINGS</w:t>
      </w:r>
      <w:bookmarkEnd w:id="14"/>
    </w:p>
    <w:p w14:paraId="58287600" w14:textId="0E3EA7FC" w:rsidR="0053185C" w:rsidRDefault="0053185C" w:rsidP="0053185C">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 xml:space="preserve">This group of SOE investments </w:t>
      </w:r>
      <w:r w:rsidR="002D207E">
        <w:rPr>
          <w:rFonts w:asciiTheme="minorHAnsi" w:hAnsiTheme="minorHAnsi"/>
          <w:color w:val="000000" w:themeColor="text1"/>
          <w:lang w:val="en-GB"/>
        </w:rPr>
        <w:t>is</w:t>
      </w:r>
      <w:r w:rsidR="002D207E" w:rsidRPr="00D25BE7">
        <w:rPr>
          <w:rFonts w:asciiTheme="minorHAnsi" w:hAnsiTheme="minorHAnsi"/>
          <w:color w:val="000000" w:themeColor="text1"/>
          <w:lang w:val="en-GB"/>
        </w:rPr>
        <w:t xml:space="preserve"> </w:t>
      </w:r>
      <w:r w:rsidRPr="00D25BE7">
        <w:rPr>
          <w:rFonts w:asciiTheme="minorHAnsi" w:hAnsiTheme="minorHAnsi"/>
          <w:color w:val="000000" w:themeColor="text1"/>
          <w:lang w:val="en-GB"/>
        </w:rPr>
        <w:t>the most profitable and</w:t>
      </w:r>
      <w:r w:rsidR="002D207E">
        <w:rPr>
          <w:rFonts w:asciiTheme="minorHAnsi" w:hAnsiTheme="minorHAnsi"/>
          <w:color w:val="000000" w:themeColor="text1"/>
          <w:lang w:val="en-GB"/>
        </w:rPr>
        <w:t xml:space="preserve"> </w:t>
      </w:r>
      <w:r w:rsidR="00912553">
        <w:rPr>
          <w:rFonts w:asciiTheme="minorHAnsi" w:hAnsiTheme="minorHAnsi"/>
          <w:color w:val="000000" w:themeColor="text1"/>
          <w:lang w:val="en-GB"/>
        </w:rPr>
        <w:t xml:space="preserve">has </w:t>
      </w:r>
      <w:r w:rsidR="00912553" w:rsidRPr="00D25BE7">
        <w:rPr>
          <w:rFonts w:asciiTheme="minorHAnsi" w:hAnsiTheme="minorHAnsi"/>
          <w:color w:val="000000" w:themeColor="text1"/>
          <w:lang w:val="en-GB"/>
        </w:rPr>
        <w:t>ma</w:t>
      </w:r>
      <w:r w:rsidR="00912553">
        <w:rPr>
          <w:rFonts w:asciiTheme="minorHAnsi" w:hAnsiTheme="minorHAnsi"/>
          <w:color w:val="000000" w:themeColor="text1"/>
          <w:lang w:val="en-GB"/>
        </w:rPr>
        <w:t>de</w:t>
      </w:r>
      <w:r w:rsidR="00912553" w:rsidRPr="00D25BE7">
        <w:rPr>
          <w:rFonts w:asciiTheme="minorHAnsi" w:hAnsiTheme="minorHAnsi"/>
          <w:color w:val="000000" w:themeColor="text1"/>
          <w:lang w:val="en-GB"/>
        </w:rPr>
        <w:t xml:space="preserve"> </w:t>
      </w:r>
      <w:r w:rsidRPr="00D25BE7">
        <w:rPr>
          <w:rFonts w:asciiTheme="minorHAnsi" w:hAnsiTheme="minorHAnsi"/>
          <w:color w:val="000000" w:themeColor="text1"/>
          <w:lang w:val="en-GB"/>
        </w:rPr>
        <w:t>the largest contribution to cash inflows to government, from the SOE sector. Because the shareholdings are minority stakes, Government cannot directly control business management</w:t>
      </w:r>
      <w:r w:rsidR="005779CC" w:rsidRPr="00D25BE7">
        <w:rPr>
          <w:rFonts w:asciiTheme="minorHAnsi" w:hAnsiTheme="minorHAnsi"/>
          <w:color w:val="000000" w:themeColor="text1"/>
          <w:lang w:val="en-GB"/>
        </w:rPr>
        <w:t xml:space="preserve"> and PSD as an ownership monitor, has the p</w:t>
      </w:r>
      <w:r w:rsidRPr="00D25BE7">
        <w:rPr>
          <w:rFonts w:asciiTheme="minorHAnsi" w:hAnsiTheme="minorHAnsi"/>
          <w:color w:val="000000" w:themeColor="text1"/>
          <w:lang w:val="en-GB"/>
        </w:rPr>
        <w:t xml:space="preserve">rimary monitoring objective (for so long as there remains a shareholding) to ensure that a fair return is being achieved. </w:t>
      </w:r>
    </w:p>
    <w:p w14:paraId="5803756B" w14:textId="17BC81C3" w:rsidR="00E002F3" w:rsidRPr="00A60749" w:rsidRDefault="00E002F3" w:rsidP="0053185C">
      <w:pPr>
        <w:pStyle w:val="ListParagraph"/>
        <w:ind w:left="426" w:hanging="426"/>
        <w:rPr>
          <w:rFonts w:asciiTheme="minorHAnsi" w:hAnsiTheme="minorHAnsi"/>
          <w:b/>
          <w:color w:val="000000" w:themeColor="text1"/>
          <w:lang w:val="en-GB"/>
        </w:rPr>
      </w:pPr>
      <w:r w:rsidRPr="00A60749">
        <w:rPr>
          <w:rFonts w:asciiTheme="minorHAnsi" w:hAnsiTheme="minorHAnsi"/>
          <w:b/>
          <w:color w:val="000000" w:themeColor="text1"/>
          <w:lang w:val="en-GB"/>
        </w:rPr>
        <w:t>Table 6. Revenue of Minority Holdings as a proportion of GDP</w:t>
      </w:r>
    </w:p>
    <w:tbl>
      <w:tblPr>
        <w:tblStyle w:val="TableGrid"/>
        <w:tblW w:w="9356" w:type="dxa"/>
        <w:tblInd w:w="250" w:type="dxa"/>
        <w:tblLook w:val="04A0" w:firstRow="1" w:lastRow="0" w:firstColumn="1" w:lastColumn="0" w:noHBand="0" w:noVBand="1"/>
      </w:tblPr>
      <w:tblGrid>
        <w:gridCol w:w="1843"/>
        <w:gridCol w:w="834"/>
        <w:gridCol w:w="835"/>
        <w:gridCol w:w="835"/>
        <w:gridCol w:w="835"/>
        <w:gridCol w:w="834"/>
        <w:gridCol w:w="835"/>
        <w:gridCol w:w="835"/>
        <w:gridCol w:w="835"/>
        <w:gridCol w:w="835"/>
      </w:tblGrid>
      <w:tr w:rsidR="00B17DA6" w:rsidRPr="001E16D5" w14:paraId="780CBD31" w14:textId="77777777" w:rsidTr="00084C8B">
        <w:tc>
          <w:tcPr>
            <w:tcW w:w="1843" w:type="dxa"/>
            <w:vAlign w:val="center"/>
          </w:tcPr>
          <w:p w14:paraId="14EB6325" w14:textId="77777777" w:rsidR="00B17DA6" w:rsidRPr="00084C8B" w:rsidRDefault="00B17DA6">
            <w:pPr>
              <w:keepNext/>
              <w:keepLines/>
              <w:spacing w:before="40" w:after="40" w:line="276" w:lineRule="auto"/>
              <w:jc w:val="left"/>
              <w:rPr>
                <w:rFonts w:asciiTheme="minorHAnsi" w:hAnsiTheme="minorHAnsi" w:cs="Arial"/>
                <w:sz w:val="18"/>
                <w:szCs w:val="18"/>
                <w:lang w:val="en-GB"/>
              </w:rPr>
            </w:pPr>
          </w:p>
        </w:tc>
        <w:tc>
          <w:tcPr>
            <w:tcW w:w="834" w:type="dxa"/>
            <w:vAlign w:val="center"/>
          </w:tcPr>
          <w:p w14:paraId="25475085" w14:textId="77777777" w:rsidR="00B17DA6" w:rsidRPr="00084C8B" w:rsidRDefault="00B17DA6" w:rsidP="00084C8B">
            <w:pPr>
              <w:spacing w:before="40" w:after="40"/>
              <w:jc w:val="center"/>
              <w:rPr>
                <w:rFonts w:asciiTheme="minorHAnsi" w:hAnsiTheme="minorHAnsi" w:cs="Arial"/>
                <w:b/>
                <w:sz w:val="18"/>
                <w:szCs w:val="18"/>
                <w:lang w:val="en-GB"/>
              </w:rPr>
            </w:pPr>
            <w:r w:rsidRPr="00084C8B">
              <w:rPr>
                <w:rFonts w:asciiTheme="minorHAnsi" w:hAnsiTheme="minorHAnsi" w:cs="Arial"/>
                <w:b/>
                <w:sz w:val="18"/>
                <w:szCs w:val="18"/>
                <w:lang w:val="en-GB"/>
              </w:rPr>
              <w:t>2009</w:t>
            </w:r>
          </w:p>
        </w:tc>
        <w:tc>
          <w:tcPr>
            <w:tcW w:w="835" w:type="dxa"/>
            <w:vAlign w:val="center"/>
          </w:tcPr>
          <w:p w14:paraId="3BE8BC22" w14:textId="77777777" w:rsidR="00B17DA6" w:rsidRPr="00084C8B" w:rsidRDefault="00B17DA6" w:rsidP="00084C8B">
            <w:pPr>
              <w:spacing w:before="40" w:after="40"/>
              <w:jc w:val="center"/>
              <w:rPr>
                <w:rFonts w:asciiTheme="minorHAnsi" w:hAnsiTheme="minorHAnsi" w:cs="Arial"/>
                <w:b/>
                <w:sz w:val="18"/>
                <w:szCs w:val="18"/>
                <w:lang w:val="en-GB"/>
              </w:rPr>
            </w:pPr>
            <w:r w:rsidRPr="00084C8B">
              <w:rPr>
                <w:rFonts w:asciiTheme="minorHAnsi" w:hAnsiTheme="minorHAnsi" w:cs="Arial"/>
                <w:b/>
                <w:sz w:val="18"/>
                <w:szCs w:val="18"/>
                <w:lang w:val="en-GB"/>
              </w:rPr>
              <w:t>2010</w:t>
            </w:r>
          </w:p>
        </w:tc>
        <w:tc>
          <w:tcPr>
            <w:tcW w:w="835" w:type="dxa"/>
            <w:vAlign w:val="center"/>
          </w:tcPr>
          <w:p w14:paraId="6A863892" w14:textId="77777777" w:rsidR="00B17DA6" w:rsidRPr="00084C8B" w:rsidRDefault="00B17DA6">
            <w:pPr>
              <w:tabs>
                <w:tab w:val="center" w:pos="4320"/>
                <w:tab w:val="right" w:pos="8640"/>
              </w:tabs>
              <w:spacing w:before="40" w:after="40"/>
              <w:jc w:val="center"/>
              <w:rPr>
                <w:rFonts w:asciiTheme="minorHAnsi" w:hAnsiTheme="minorHAnsi" w:cs="Arial"/>
                <w:b/>
                <w:sz w:val="18"/>
                <w:szCs w:val="18"/>
                <w:lang w:val="en-GB"/>
              </w:rPr>
            </w:pPr>
            <w:r w:rsidRPr="00084C8B">
              <w:rPr>
                <w:rFonts w:asciiTheme="minorHAnsi" w:hAnsiTheme="minorHAnsi" w:cs="Arial"/>
                <w:b/>
                <w:sz w:val="18"/>
                <w:szCs w:val="18"/>
                <w:lang w:val="en-GB"/>
              </w:rPr>
              <w:t>2011</w:t>
            </w:r>
          </w:p>
        </w:tc>
        <w:tc>
          <w:tcPr>
            <w:tcW w:w="835" w:type="dxa"/>
            <w:vAlign w:val="center"/>
          </w:tcPr>
          <w:p w14:paraId="3A35192C" w14:textId="77777777" w:rsidR="00B17DA6" w:rsidRPr="00084C8B" w:rsidRDefault="00B17DA6">
            <w:pPr>
              <w:tabs>
                <w:tab w:val="center" w:pos="4320"/>
                <w:tab w:val="right" w:pos="8640"/>
              </w:tabs>
              <w:spacing w:before="40" w:after="40"/>
              <w:jc w:val="center"/>
              <w:rPr>
                <w:rFonts w:asciiTheme="minorHAnsi" w:hAnsiTheme="minorHAnsi" w:cs="Arial"/>
                <w:b/>
                <w:sz w:val="18"/>
                <w:szCs w:val="18"/>
                <w:lang w:val="en-GB"/>
              </w:rPr>
            </w:pPr>
            <w:r w:rsidRPr="00084C8B">
              <w:rPr>
                <w:rFonts w:asciiTheme="minorHAnsi" w:hAnsiTheme="minorHAnsi" w:cs="Arial"/>
                <w:b/>
                <w:sz w:val="18"/>
                <w:szCs w:val="18"/>
                <w:lang w:val="en-GB"/>
              </w:rPr>
              <w:t>2012</w:t>
            </w:r>
          </w:p>
        </w:tc>
        <w:tc>
          <w:tcPr>
            <w:tcW w:w="834" w:type="dxa"/>
            <w:vAlign w:val="center"/>
          </w:tcPr>
          <w:p w14:paraId="2213888D" w14:textId="77777777" w:rsidR="00B17DA6" w:rsidRPr="00084C8B" w:rsidRDefault="00B17DA6">
            <w:pPr>
              <w:tabs>
                <w:tab w:val="center" w:pos="4320"/>
                <w:tab w:val="right" w:pos="8640"/>
              </w:tabs>
              <w:spacing w:before="40" w:after="40"/>
              <w:jc w:val="center"/>
              <w:rPr>
                <w:rFonts w:asciiTheme="minorHAnsi" w:hAnsiTheme="minorHAnsi" w:cs="Arial"/>
                <w:b/>
                <w:sz w:val="18"/>
                <w:szCs w:val="18"/>
                <w:lang w:val="en-GB"/>
              </w:rPr>
            </w:pPr>
            <w:r w:rsidRPr="00084C8B">
              <w:rPr>
                <w:rFonts w:asciiTheme="minorHAnsi" w:hAnsiTheme="minorHAnsi" w:cs="Arial"/>
                <w:b/>
                <w:sz w:val="18"/>
                <w:szCs w:val="18"/>
                <w:lang w:val="en-GB"/>
              </w:rPr>
              <w:t>2013</w:t>
            </w:r>
          </w:p>
        </w:tc>
        <w:tc>
          <w:tcPr>
            <w:tcW w:w="835" w:type="dxa"/>
            <w:vAlign w:val="center"/>
          </w:tcPr>
          <w:p w14:paraId="626A3B59" w14:textId="77777777" w:rsidR="00B17DA6" w:rsidRPr="00084C8B" w:rsidRDefault="00B17DA6">
            <w:pPr>
              <w:tabs>
                <w:tab w:val="center" w:pos="4320"/>
                <w:tab w:val="right" w:pos="8640"/>
              </w:tabs>
              <w:spacing w:before="40" w:after="40"/>
              <w:jc w:val="center"/>
              <w:rPr>
                <w:rFonts w:asciiTheme="minorHAnsi" w:hAnsiTheme="minorHAnsi" w:cs="Arial"/>
                <w:b/>
                <w:sz w:val="18"/>
                <w:szCs w:val="18"/>
                <w:lang w:val="en-GB"/>
              </w:rPr>
            </w:pPr>
            <w:r w:rsidRPr="00084C8B">
              <w:rPr>
                <w:rFonts w:asciiTheme="minorHAnsi" w:hAnsiTheme="minorHAnsi" w:cs="Arial"/>
                <w:b/>
                <w:sz w:val="18"/>
                <w:szCs w:val="18"/>
                <w:lang w:val="en-GB"/>
              </w:rPr>
              <w:t>2014</w:t>
            </w:r>
          </w:p>
        </w:tc>
        <w:tc>
          <w:tcPr>
            <w:tcW w:w="835" w:type="dxa"/>
            <w:vAlign w:val="center"/>
          </w:tcPr>
          <w:p w14:paraId="2073B308" w14:textId="77777777" w:rsidR="00B17DA6" w:rsidRPr="00084C8B" w:rsidRDefault="00B17DA6">
            <w:pPr>
              <w:tabs>
                <w:tab w:val="center" w:pos="4320"/>
                <w:tab w:val="right" w:pos="8640"/>
              </w:tabs>
              <w:spacing w:before="40" w:after="40"/>
              <w:jc w:val="center"/>
              <w:rPr>
                <w:rFonts w:asciiTheme="minorHAnsi" w:hAnsiTheme="minorHAnsi" w:cs="Arial"/>
                <w:b/>
                <w:sz w:val="18"/>
                <w:szCs w:val="18"/>
                <w:lang w:val="en-GB"/>
              </w:rPr>
            </w:pPr>
            <w:r w:rsidRPr="00084C8B">
              <w:rPr>
                <w:rFonts w:asciiTheme="minorHAnsi" w:hAnsiTheme="minorHAnsi" w:cs="Arial"/>
                <w:b/>
                <w:sz w:val="18"/>
                <w:szCs w:val="18"/>
                <w:lang w:val="en-GB"/>
              </w:rPr>
              <w:t>2015</w:t>
            </w:r>
          </w:p>
        </w:tc>
        <w:tc>
          <w:tcPr>
            <w:tcW w:w="835" w:type="dxa"/>
            <w:vAlign w:val="center"/>
          </w:tcPr>
          <w:p w14:paraId="11A7EA63" w14:textId="77777777" w:rsidR="00B17DA6" w:rsidRPr="00084C8B" w:rsidRDefault="00B17DA6">
            <w:pPr>
              <w:tabs>
                <w:tab w:val="center" w:pos="4320"/>
                <w:tab w:val="right" w:pos="8640"/>
              </w:tabs>
              <w:spacing w:before="40" w:after="40"/>
              <w:jc w:val="center"/>
              <w:rPr>
                <w:rFonts w:asciiTheme="minorHAnsi" w:hAnsiTheme="minorHAnsi" w:cs="Arial"/>
                <w:b/>
                <w:sz w:val="18"/>
                <w:szCs w:val="18"/>
                <w:lang w:val="en-GB"/>
              </w:rPr>
            </w:pPr>
            <w:r w:rsidRPr="00084C8B">
              <w:rPr>
                <w:rFonts w:asciiTheme="minorHAnsi" w:hAnsiTheme="minorHAnsi" w:cs="Arial"/>
                <w:b/>
                <w:sz w:val="18"/>
                <w:szCs w:val="18"/>
                <w:lang w:val="en-GB"/>
              </w:rPr>
              <w:t>2016</w:t>
            </w:r>
          </w:p>
        </w:tc>
        <w:tc>
          <w:tcPr>
            <w:tcW w:w="835" w:type="dxa"/>
            <w:vAlign w:val="center"/>
          </w:tcPr>
          <w:p w14:paraId="71D79F72" w14:textId="77777777" w:rsidR="00B17DA6" w:rsidRPr="00084C8B" w:rsidRDefault="00B17DA6">
            <w:pPr>
              <w:tabs>
                <w:tab w:val="center" w:pos="4320"/>
                <w:tab w:val="right" w:pos="8640"/>
              </w:tabs>
              <w:spacing w:before="40" w:after="40"/>
              <w:jc w:val="center"/>
              <w:rPr>
                <w:rFonts w:asciiTheme="minorHAnsi" w:hAnsiTheme="minorHAnsi" w:cs="Arial"/>
                <w:b/>
                <w:sz w:val="18"/>
                <w:szCs w:val="18"/>
                <w:lang w:val="en-GB"/>
              </w:rPr>
            </w:pPr>
            <w:r w:rsidRPr="00084C8B">
              <w:rPr>
                <w:rFonts w:asciiTheme="minorHAnsi" w:hAnsiTheme="minorHAnsi" w:cs="Arial"/>
                <w:b/>
                <w:sz w:val="18"/>
                <w:szCs w:val="18"/>
                <w:lang w:val="en-GB"/>
              </w:rPr>
              <w:t>2017</w:t>
            </w:r>
          </w:p>
        </w:tc>
      </w:tr>
      <w:tr w:rsidR="00B17DA6" w:rsidRPr="001E16D5" w14:paraId="28D1E55D" w14:textId="77777777" w:rsidTr="00084C8B">
        <w:tc>
          <w:tcPr>
            <w:tcW w:w="1843" w:type="dxa"/>
            <w:vAlign w:val="center"/>
          </w:tcPr>
          <w:p w14:paraId="1BC2E67B" w14:textId="77777777" w:rsidR="00B17DA6" w:rsidRPr="00084C8B" w:rsidRDefault="00B17DA6" w:rsidP="00084C8B">
            <w:pPr>
              <w:spacing w:before="40" w:after="40"/>
              <w:jc w:val="left"/>
              <w:rPr>
                <w:rFonts w:asciiTheme="minorHAnsi" w:hAnsiTheme="minorHAnsi" w:cs="Arial"/>
                <w:sz w:val="18"/>
                <w:szCs w:val="18"/>
                <w:lang w:val="en-GB"/>
              </w:rPr>
            </w:pPr>
            <w:r w:rsidRPr="00084C8B">
              <w:rPr>
                <w:rFonts w:asciiTheme="minorHAnsi" w:hAnsiTheme="minorHAnsi" w:cs="Arial"/>
                <w:sz w:val="18"/>
                <w:szCs w:val="18"/>
                <w:lang w:val="en-GB"/>
              </w:rPr>
              <w:t xml:space="preserve">GDB </w:t>
            </w:r>
            <w:proofErr w:type="spellStart"/>
            <w:r w:rsidRPr="00084C8B">
              <w:rPr>
                <w:rFonts w:asciiTheme="minorHAnsi" w:hAnsiTheme="minorHAnsi" w:cs="Arial"/>
                <w:sz w:val="18"/>
                <w:szCs w:val="18"/>
                <w:lang w:val="en-GB"/>
              </w:rPr>
              <w:t>Bln</w:t>
            </w:r>
            <w:proofErr w:type="spellEnd"/>
            <w:r w:rsidRPr="00084C8B">
              <w:rPr>
                <w:rFonts w:asciiTheme="minorHAnsi" w:hAnsiTheme="minorHAnsi" w:cs="Arial"/>
                <w:sz w:val="18"/>
                <w:szCs w:val="18"/>
                <w:lang w:val="en-GB"/>
              </w:rPr>
              <w:t>$</w:t>
            </w:r>
          </w:p>
        </w:tc>
        <w:tc>
          <w:tcPr>
            <w:tcW w:w="834" w:type="dxa"/>
            <w:vAlign w:val="center"/>
          </w:tcPr>
          <w:p w14:paraId="1F10C2E5" w14:textId="77777777" w:rsidR="00B17DA6" w:rsidRPr="00084C8B" w:rsidRDefault="00B17DA6" w:rsidP="00084C8B">
            <w:pPr>
              <w:spacing w:before="40" w:after="40"/>
              <w:jc w:val="center"/>
              <w:rPr>
                <w:rFonts w:asciiTheme="minorHAnsi" w:hAnsiTheme="minorHAnsi" w:cs="Arial"/>
                <w:sz w:val="18"/>
                <w:szCs w:val="18"/>
                <w:lang w:val="en-GB"/>
              </w:rPr>
            </w:pPr>
            <w:r w:rsidRPr="00084C8B">
              <w:rPr>
                <w:rFonts w:asciiTheme="minorHAnsi" w:hAnsiTheme="minorHAnsi" w:cs="Arial"/>
                <w:color w:val="000000"/>
                <w:sz w:val="18"/>
                <w:szCs w:val="18"/>
              </w:rPr>
              <w:t>1.77</w:t>
            </w:r>
          </w:p>
        </w:tc>
        <w:tc>
          <w:tcPr>
            <w:tcW w:w="835" w:type="dxa"/>
            <w:vAlign w:val="center"/>
          </w:tcPr>
          <w:p w14:paraId="6111863C" w14:textId="77777777" w:rsidR="00B17DA6" w:rsidRPr="00084C8B" w:rsidRDefault="00B17DA6" w:rsidP="00084C8B">
            <w:pPr>
              <w:spacing w:before="40" w:after="40"/>
              <w:jc w:val="center"/>
              <w:rPr>
                <w:rFonts w:asciiTheme="minorHAnsi" w:hAnsiTheme="minorHAnsi" w:cs="Arial"/>
                <w:sz w:val="18"/>
                <w:szCs w:val="18"/>
                <w:lang w:val="en-GB"/>
              </w:rPr>
            </w:pPr>
            <w:r w:rsidRPr="00084C8B">
              <w:rPr>
                <w:rFonts w:asciiTheme="minorHAnsi" w:hAnsiTheme="minorHAnsi" w:cs="Arial"/>
                <w:color w:val="000000"/>
                <w:sz w:val="18"/>
                <w:szCs w:val="18"/>
              </w:rPr>
              <w:t>2.40</w:t>
            </w:r>
          </w:p>
        </w:tc>
        <w:tc>
          <w:tcPr>
            <w:tcW w:w="835" w:type="dxa"/>
            <w:vAlign w:val="center"/>
          </w:tcPr>
          <w:p w14:paraId="78578ABA" w14:textId="77777777" w:rsidR="00B17DA6" w:rsidRPr="00084C8B" w:rsidRDefault="00B17DA6">
            <w:pPr>
              <w:tabs>
                <w:tab w:val="center" w:pos="4320"/>
                <w:tab w:val="right" w:pos="8640"/>
              </w:tabs>
              <w:spacing w:before="40" w:after="40"/>
              <w:jc w:val="center"/>
              <w:rPr>
                <w:rFonts w:asciiTheme="minorHAnsi" w:hAnsiTheme="minorHAnsi" w:cs="Arial"/>
                <w:sz w:val="18"/>
                <w:szCs w:val="18"/>
                <w:lang w:val="en-GB"/>
              </w:rPr>
            </w:pPr>
            <w:r w:rsidRPr="00084C8B">
              <w:rPr>
                <w:rFonts w:asciiTheme="minorHAnsi" w:hAnsiTheme="minorHAnsi" w:cs="Arial"/>
                <w:color w:val="000000"/>
                <w:sz w:val="18"/>
                <w:szCs w:val="18"/>
              </w:rPr>
              <w:t>2.79</w:t>
            </w:r>
          </w:p>
        </w:tc>
        <w:tc>
          <w:tcPr>
            <w:tcW w:w="835" w:type="dxa"/>
            <w:vAlign w:val="center"/>
          </w:tcPr>
          <w:p w14:paraId="51720718" w14:textId="77777777" w:rsidR="00B17DA6" w:rsidRPr="00084C8B" w:rsidRDefault="00B17DA6">
            <w:pPr>
              <w:tabs>
                <w:tab w:val="center" w:pos="4320"/>
                <w:tab w:val="right" w:pos="8640"/>
              </w:tabs>
              <w:spacing w:before="40" w:after="40"/>
              <w:jc w:val="center"/>
              <w:rPr>
                <w:rFonts w:asciiTheme="minorHAnsi" w:hAnsiTheme="minorHAnsi" w:cs="Arial"/>
                <w:sz w:val="18"/>
                <w:szCs w:val="18"/>
                <w:lang w:val="en-GB"/>
              </w:rPr>
            </w:pPr>
            <w:r w:rsidRPr="00084C8B">
              <w:rPr>
                <w:rFonts w:asciiTheme="minorHAnsi" w:hAnsiTheme="minorHAnsi" w:cs="Arial"/>
                <w:color w:val="000000"/>
                <w:sz w:val="18"/>
                <w:szCs w:val="18"/>
              </w:rPr>
              <w:t>2.67</w:t>
            </w:r>
          </w:p>
        </w:tc>
        <w:tc>
          <w:tcPr>
            <w:tcW w:w="834" w:type="dxa"/>
            <w:vAlign w:val="center"/>
          </w:tcPr>
          <w:p w14:paraId="1E86F192" w14:textId="77777777" w:rsidR="00B17DA6" w:rsidRPr="00084C8B" w:rsidRDefault="00B17DA6">
            <w:pPr>
              <w:tabs>
                <w:tab w:val="center" w:pos="4320"/>
                <w:tab w:val="right" w:pos="8640"/>
              </w:tabs>
              <w:spacing w:before="40" w:after="40"/>
              <w:jc w:val="center"/>
              <w:rPr>
                <w:rFonts w:asciiTheme="minorHAnsi" w:hAnsiTheme="minorHAnsi" w:cs="Arial"/>
                <w:sz w:val="18"/>
                <w:szCs w:val="18"/>
                <w:lang w:val="en-GB"/>
              </w:rPr>
            </w:pPr>
            <w:r w:rsidRPr="00084C8B">
              <w:rPr>
                <w:rFonts w:asciiTheme="minorHAnsi" w:hAnsiTheme="minorHAnsi" w:cs="Arial"/>
                <w:color w:val="000000"/>
                <w:sz w:val="18"/>
                <w:szCs w:val="18"/>
              </w:rPr>
              <w:t>2.53</w:t>
            </w:r>
          </w:p>
        </w:tc>
        <w:tc>
          <w:tcPr>
            <w:tcW w:w="835" w:type="dxa"/>
            <w:vAlign w:val="center"/>
          </w:tcPr>
          <w:p w14:paraId="39EE3D50" w14:textId="77777777" w:rsidR="00B17DA6" w:rsidRPr="00084C8B" w:rsidRDefault="00B17DA6" w:rsidP="00084C8B">
            <w:pPr>
              <w:spacing w:before="40" w:after="40"/>
              <w:jc w:val="center"/>
              <w:rPr>
                <w:rFonts w:asciiTheme="minorHAnsi" w:hAnsiTheme="minorHAnsi" w:cs="Arial"/>
                <w:sz w:val="18"/>
                <w:szCs w:val="18"/>
                <w:lang w:val="en-GB"/>
              </w:rPr>
            </w:pPr>
            <w:r w:rsidRPr="00084C8B">
              <w:rPr>
                <w:rFonts w:asciiTheme="minorHAnsi" w:hAnsiTheme="minorHAnsi" w:cs="Arial"/>
                <w:color w:val="000000"/>
                <w:sz w:val="18"/>
                <w:szCs w:val="18"/>
              </w:rPr>
              <w:t>2.61</w:t>
            </w:r>
          </w:p>
        </w:tc>
        <w:tc>
          <w:tcPr>
            <w:tcW w:w="835" w:type="dxa"/>
            <w:vAlign w:val="center"/>
          </w:tcPr>
          <w:p w14:paraId="03B306A6" w14:textId="77777777" w:rsidR="00B17DA6" w:rsidRPr="00084C8B" w:rsidRDefault="00B17DA6">
            <w:pPr>
              <w:tabs>
                <w:tab w:val="center" w:pos="4320"/>
                <w:tab w:val="right" w:pos="8640"/>
              </w:tabs>
              <w:spacing w:before="40" w:after="40"/>
              <w:jc w:val="center"/>
              <w:rPr>
                <w:rFonts w:asciiTheme="minorHAnsi" w:hAnsiTheme="minorHAnsi" w:cs="Arial"/>
                <w:sz w:val="18"/>
                <w:szCs w:val="18"/>
                <w:lang w:val="en-GB"/>
              </w:rPr>
            </w:pPr>
            <w:r w:rsidRPr="00084C8B">
              <w:rPr>
                <w:rFonts w:asciiTheme="minorHAnsi" w:hAnsiTheme="minorHAnsi" w:cs="Arial"/>
                <w:color w:val="000000"/>
                <w:sz w:val="18"/>
                <w:szCs w:val="18"/>
              </w:rPr>
              <w:t>2.29</w:t>
            </w:r>
          </w:p>
        </w:tc>
        <w:tc>
          <w:tcPr>
            <w:tcW w:w="835" w:type="dxa"/>
            <w:vAlign w:val="center"/>
          </w:tcPr>
          <w:p w14:paraId="0612C6F4" w14:textId="77777777" w:rsidR="00B17DA6" w:rsidRPr="00084C8B" w:rsidRDefault="00B17DA6">
            <w:pPr>
              <w:tabs>
                <w:tab w:val="center" w:pos="4320"/>
                <w:tab w:val="right" w:pos="8640"/>
              </w:tabs>
              <w:spacing w:before="40" w:after="40"/>
              <w:jc w:val="center"/>
              <w:rPr>
                <w:rFonts w:asciiTheme="minorHAnsi" w:hAnsiTheme="minorHAnsi" w:cs="Arial"/>
                <w:sz w:val="18"/>
                <w:szCs w:val="18"/>
                <w:lang w:val="en-GB"/>
              </w:rPr>
            </w:pPr>
            <w:r w:rsidRPr="00084C8B">
              <w:rPr>
                <w:rFonts w:asciiTheme="minorHAnsi" w:hAnsiTheme="minorHAnsi" w:cs="Arial"/>
                <w:color w:val="000000"/>
                <w:sz w:val="18"/>
                <w:szCs w:val="18"/>
              </w:rPr>
              <w:t>2.31</w:t>
            </w:r>
          </w:p>
        </w:tc>
        <w:tc>
          <w:tcPr>
            <w:tcW w:w="835" w:type="dxa"/>
            <w:vAlign w:val="center"/>
          </w:tcPr>
          <w:p w14:paraId="19673E68" w14:textId="77777777" w:rsidR="00B17DA6" w:rsidRPr="00084C8B" w:rsidRDefault="00B17DA6">
            <w:pPr>
              <w:tabs>
                <w:tab w:val="center" w:pos="4320"/>
                <w:tab w:val="right" w:pos="8640"/>
              </w:tabs>
              <w:spacing w:before="40" w:after="40"/>
              <w:jc w:val="center"/>
              <w:rPr>
                <w:rFonts w:asciiTheme="minorHAnsi" w:hAnsiTheme="minorHAnsi" w:cs="Arial"/>
                <w:sz w:val="18"/>
                <w:szCs w:val="18"/>
                <w:lang w:val="en-GB"/>
              </w:rPr>
            </w:pPr>
            <w:r w:rsidRPr="00084C8B">
              <w:rPr>
                <w:rFonts w:asciiTheme="minorHAnsi" w:hAnsiTheme="minorHAnsi" w:cs="Arial"/>
                <w:color w:val="000000"/>
                <w:sz w:val="18"/>
                <w:szCs w:val="18"/>
              </w:rPr>
              <w:t>2.57</w:t>
            </w:r>
          </w:p>
        </w:tc>
      </w:tr>
      <w:tr w:rsidR="00B17DA6" w:rsidRPr="001E16D5" w14:paraId="4672027C" w14:textId="77777777" w:rsidTr="00084C8B">
        <w:tc>
          <w:tcPr>
            <w:tcW w:w="1843" w:type="dxa"/>
            <w:vAlign w:val="center"/>
          </w:tcPr>
          <w:p w14:paraId="1758E280" w14:textId="1FBE0589" w:rsidR="00B17DA6" w:rsidRPr="00084C8B" w:rsidRDefault="00B17DA6" w:rsidP="00084C8B">
            <w:pPr>
              <w:spacing w:before="40" w:after="40"/>
              <w:jc w:val="left"/>
              <w:rPr>
                <w:rFonts w:asciiTheme="minorHAnsi" w:hAnsiTheme="minorHAnsi" w:cs="Arial"/>
                <w:sz w:val="18"/>
                <w:szCs w:val="18"/>
                <w:lang w:val="en-GB"/>
              </w:rPr>
            </w:pPr>
            <w:r w:rsidRPr="00084C8B">
              <w:rPr>
                <w:rFonts w:asciiTheme="minorHAnsi" w:hAnsiTheme="minorHAnsi" w:cs="Arial"/>
                <w:sz w:val="18"/>
                <w:szCs w:val="18"/>
                <w:lang w:val="en-GB"/>
              </w:rPr>
              <w:t>Revenue as %</w:t>
            </w:r>
            <w:r w:rsidR="004F5893" w:rsidRPr="00084C8B">
              <w:rPr>
                <w:rFonts w:asciiTheme="minorHAnsi" w:hAnsiTheme="minorHAnsi" w:cs="Arial"/>
                <w:sz w:val="18"/>
                <w:szCs w:val="18"/>
                <w:lang w:val="en-GB"/>
              </w:rPr>
              <w:t xml:space="preserve"> </w:t>
            </w:r>
            <w:r w:rsidRPr="00084C8B">
              <w:rPr>
                <w:rFonts w:asciiTheme="minorHAnsi" w:hAnsiTheme="minorHAnsi" w:cs="Arial"/>
                <w:sz w:val="18"/>
                <w:szCs w:val="18"/>
                <w:lang w:val="en-GB"/>
              </w:rPr>
              <w:t>of GDP Minority Holdings</w:t>
            </w:r>
          </w:p>
        </w:tc>
        <w:tc>
          <w:tcPr>
            <w:tcW w:w="834" w:type="dxa"/>
            <w:vAlign w:val="center"/>
          </w:tcPr>
          <w:p w14:paraId="47F60771" w14:textId="392BB384" w:rsidR="00B17DA6" w:rsidRPr="00084C8B" w:rsidRDefault="00B17DA6" w:rsidP="00084C8B">
            <w:pPr>
              <w:spacing w:before="40" w:after="40"/>
              <w:jc w:val="center"/>
              <w:rPr>
                <w:rFonts w:asciiTheme="minorHAnsi" w:hAnsiTheme="minorHAnsi" w:cs="Arial"/>
                <w:sz w:val="18"/>
                <w:szCs w:val="18"/>
                <w:lang w:val="en-GB"/>
              </w:rPr>
            </w:pPr>
            <w:r w:rsidRPr="00084C8B">
              <w:rPr>
                <w:rFonts w:asciiTheme="minorHAnsi" w:hAnsiTheme="minorHAnsi" w:cs="Arial"/>
                <w:color w:val="000000"/>
                <w:sz w:val="18"/>
                <w:szCs w:val="18"/>
              </w:rPr>
              <w:t>21.76</w:t>
            </w:r>
          </w:p>
        </w:tc>
        <w:tc>
          <w:tcPr>
            <w:tcW w:w="835" w:type="dxa"/>
            <w:vAlign w:val="center"/>
          </w:tcPr>
          <w:p w14:paraId="448843B5" w14:textId="509B3A63" w:rsidR="00B17DA6" w:rsidRPr="00084C8B" w:rsidRDefault="00917DF1" w:rsidP="00084C8B">
            <w:pPr>
              <w:spacing w:before="40" w:after="40"/>
              <w:jc w:val="center"/>
              <w:rPr>
                <w:rFonts w:asciiTheme="minorHAnsi" w:hAnsiTheme="minorHAnsi" w:cs="Arial"/>
                <w:sz w:val="18"/>
                <w:szCs w:val="18"/>
                <w:lang w:val="en-GB"/>
              </w:rPr>
            </w:pPr>
            <w:r w:rsidRPr="00084C8B">
              <w:rPr>
                <w:rFonts w:asciiTheme="minorHAnsi" w:hAnsiTheme="minorHAnsi" w:cs="Arial"/>
                <w:color w:val="000000"/>
                <w:sz w:val="18"/>
                <w:szCs w:val="18"/>
              </w:rPr>
              <w:t>17.54</w:t>
            </w:r>
          </w:p>
        </w:tc>
        <w:tc>
          <w:tcPr>
            <w:tcW w:w="835" w:type="dxa"/>
            <w:vAlign w:val="center"/>
          </w:tcPr>
          <w:p w14:paraId="3A9A3F6F" w14:textId="3945D4C0" w:rsidR="00B17DA6" w:rsidRPr="00084C8B" w:rsidRDefault="00917DF1" w:rsidP="00084C8B">
            <w:pPr>
              <w:spacing w:before="40" w:after="40"/>
              <w:jc w:val="center"/>
              <w:rPr>
                <w:rFonts w:asciiTheme="minorHAnsi" w:hAnsiTheme="minorHAnsi" w:cs="Arial"/>
                <w:sz w:val="18"/>
                <w:szCs w:val="18"/>
                <w:lang w:val="en-GB"/>
              </w:rPr>
            </w:pPr>
            <w:r w:rsidRPr="00084C8B">
              <w:rPr>
                <w:rFonts w:asciiTheme="minorHAnsi" w:hAnsiTheme="minorHAnsi" w:cs="Arial"/>
                <w:color w:val="000000"/>
                <w:sz w:val="18"/>
                <w:szCs w:val="18"/>
              </w:rPr>
              <w:t>17.91</w:t>
            </w:r>
          </w:p>
        </w:tc>
        <w:tc>
          <w:tcPr>
            <w:tcW w:w="835" w:type="dxa"/>
            <w:vAlign w:val="center"/>
          </w:tcPr>
          <w:p w14:paraId="4A806682" w14:textId="583F2902" w:rsidR="00B17DA6" w:rsidRPr="00084C8B" w:rsidRDefault="00917DF1" w:rsidP="00084C8B">
            <w:pPr>
              <w:spacing w:before="40" w:after="40"/>
              <w:jc w:val="center"/>
              <w:rPr>
                <w:rFonts w:asciiTheme="minorHAnsi" w:hAnsiTheme="minorHAnsi" w:cs="Arial"/>
                <w:sz w:val="18"/>
                <w:szCs w:val="18"/>
                <w:lang w:val="en-GB"/>
              </w:rPr>
            </w:pPr>
            <w:r w:rsidRPr="00084C8B">
              <w:rPr>
                <w:rFonts w:asciiTheme="minorHAnsi" w:hAnsiTheme="minorHAnsi" w:cs="Arial"/>
                <w:color w:val="000000"/>
                <w:sz w:val="18"/>
                <w:szCs w:val="18"/>
              </w:rPr>
              <w:t>16.98</w:t>
            </w:r>
          </w:p>
        </w:tc>
        <w:tc>
          <w:tcPr>
            <w:tcW w:w="834" w:type="dxa"/>
            <w:vAlign w:val="center"/>
          </w:tcPr>
          <w:p w14:paraId="3AE95342" w14:textId="679FA65C" w:rsidR="00B17DA6" w:rsidRPr="00084C8B" w:rsidRDefault="00917DF1" w:rsidP="00084C8B">
            <w:pPr>
              <w:spacing w:before="40" w:after="40"/>
              <w:jc w:val="center"/>
              <w:rPr>
                <w:rFonts w:asciiTheme="minorHAnsi" w:hAnsiTheme="minorHAnsi" w:cs="Arial"/>
                <w:sz w:val="18"/>
                <w:szCs w:val="18"/>
                <w:lang w:val="en-GB"/>
              </w:rPr>
            </w:pPr>
            <w:r w:rsidRPr="00084C8B">
              <w:rPr>
                <w:rFonts w:asciiTheme="minorHAnsi" w:hAnsiTheme="minorHAnsi" w:cs="Arial"/>
                <w:color w:val="000000"/>
                <w:sz w:val="18"/>
                <w:szCs w:val="18"/>
              </w:rPr>
              <w:t>16.97</w:t>
            </w:r>
          </w:p>
        </w:tc>
        <w:tc>
          <w:tcPr>
            <w:tcW w:w="835" w:type="dxa"/>
            <w:vAlign w:val="center"/>
          </w:tcPr>
          <w:p w14:paraId="242BD023" w14:textId="7D64576C" w:rsidR="00B17DA6" w:rsidRPr="00084C8B" w:rsidRDefault="00917DF1" w:rsidP="00084C8B">
            <w:pPr>
              <w:spacing w:before="40" w:after="40"/>
              <w:jc w:val="center"/>
              <w:rPr>
                <w:rFonts w:asciiTheme="minorHAnsi" w:hAnsiTheme="minorHAnsi" w:cs="Arial"/>
                <w:sz w:val="18"/>
                <w:szCs w:val="18"/>
                <w:lang w:val="en-GB"/>
              </w:rPr>
            </w:pPr>
            <w:r w:rsidRPr="00084C8B">
              <w:rPr>
                <w:rFonts w:asciiTheme="minorHAnsi" w:hAnsiTheme="minorHAnsi" w:cs="Arial"/>
                <w:color w:val="000000"/>
                <w:sz w:val="18"/>
                <w:szCs w:val="18"/>
              </w:rPr>
              <w:t>21.43</w:t>
            </w:r>
          </w:p>
        </w:tc>
        <w:tc>
          <w:tcPr>
            <w:tcW w:w="835" w:type="dxa"/>
            <w:vAlign w:val="center"/>
          </w:tcPr>
          <w:p w14:paraId="3FDC9B4B" w14:textId="3728A54D" w:rsidR="00B17DA6" w:rsidRPr="00084C8B" w:rsidRDefault="00917DF1" w:rsidP="00084C8B">
            <w:pPr>
              <w:spacing w:before="40" w:after="40"/>
              <w:jc w:val="center"/>
              <w:rPr>
                <w:rFonts w:asciiTheme="minorHAnsi" w:hAnsiTheme="minorHAnsi" w:cs="Arial"/>
                <w:sz w:val="18"/>
                <w:szCs w:val="18"/>
                <w:lang w:val="en-GB"/>
              </w:rPr>
            </w:pPr>
            <w:r w:rsidRPr="00084C8B">
              <w:rPr>
                <w:rFonts w:asciiTheme="minorHAnsi" w:hAnsiTheme="minorHAnsi" w:cs="Arial"/>
                <w:color w:val="000000"/>
                <w:sz w:val="18"/>
                <w:szCs w:val="18"/>
              </w:rPr>
              <w:t>32.10</w:t>
            </w:r>
          </w:p>
        </w:tc>
        <w:tc>
          <w:tcPr>
            <w:tcW w:w="835" w:type="dxa"/>
            <w:vAlign w:val="center"/>
          </w:tcPr>
          <w:p w14:paraId="0D3E5827" w14:textId="7E1E199A" w:rsidR="00B17DA6" w:rsidRPr="00084C8B" w:rsidRDefault="00917DF1" w:rsidP="00084C8B">
            <w:pPr>
              <w:spacing w:before="40" w:after="40"/>
              <w:jc w:val="center"/>
              <w:rPr>
                <w:rFonts w:asciiTheme="minorHAnsi" w:hAnsiTheme="minorHAnsi" w:cs="Arial"/>
                <w:sz w:val="18"/>
                <w:szCs w:val="18"/>
                <w:lang w:val="en-GB"/>
              </w:rPr>
            </w:pPr>
            <w:r w:rsidRPr="00084C8B">
              <w:rPr>
                <w:rFonts w:asciiTheme="minorHAnsi" w:hAnsiTheme="minorHAnsi" w:cs="Arial"/>
                <w:color w:val="000000"/>
                <w:sz w:val="18"/>
                <w:szCs w:val="18"/>
              </w:rPr>
              <w:t>27.44</w:t>
            </w:r>
          </w:p>
        </w:tc>
        <w:tc>
          <w:tcPr>
            <w:tcW w:w="835" w:type="dxa"/>
            <w:vAlign w:val="center"/>
          </w:tcPr>
          <w:p w14:paraId="2BC883B8" w14:textId="3539DFA0" w:rsidR="00B17DA6" w:rsidRPr="00084C8B" w:rsidRDefault="00917DF1" w:rsidP="00084C8B">
            <w:pPr>
              <w:spacing w:before="40" w:after="40"/>
              <w:jc w:val="center"/>
              <w:rPr>
                <w:rFonts w:asciiTheme="minorHAnsi" w:hAnsiTheme="minorHAnsi" w:cs="Arial"/>
                <w:sz w:val="18"/>
                <w:szCs w:val="18"/>
                <w:lang w:val="en-GB"/>
              </w:rPr>
            </w:pPr>
            <w:r w:rsidRPr="00084C8B">
              <w:rPr>
                <w:rFonts w:asciiTheme="minorHAnsi" w:hAnsiTheme="minorHAnsi" w:cs="Arial"/>
                <w:color w:val="000000"/>
                <w:sz w:val="18"/>
                <w:szCs w:val="18"/>
              </w:rPr>
              <w:t>16.61</w:t>
            </w:r>
          </w:p>
        </w:tc>
      </w:tr>
    </w:tbl>
    <w:p w14:paraId="1E3290D8" w14:textId="77777777" w:rsidR="00B17DA6" w:rsidRDefault="00B17DA6" w:rsidP="00A60749">
      <w:pPr>
        <w:rPr>
          <w:rFonts w:asciiTheme="minorHAnsi" w:hAnsiTheme="minorHAnsi"/>
          <w:color w:val="000000" w:themeColor="text1"/>
          <w:lang w:val="en-GB"/>
        </w:rPr>
      </w:pPr>
    </w:p>
    <w:p w14:paraId="794D6995" w14:textId="5E6B290B" w:rsidR="00791AAC" w:rsidRPr="00D8583C" w:rsidRDefault="00791AAC" w:rsidP="00791AAC">
      <w:pPr>
        <w:rPr>
          <w:rFonts w:asciiTheme="minorHAnsi" w:hAnsiTheme="minorHAnsi"/>
          <w:i/>
          <w:sz w:val="20"/>
          <w:lang w:val="en-GB"/>
        </w:rPr>
      </w:pPr>
      <w:r w:rsidRPr="00D8583C">
        <w:rPr>
          <w:rFonts w:asciiTheme="minorHAnsi" w:hAnsiTheme="minorHAnsi"/>
          <w:i/>
          <w:sz w:val="20"/>
          <w:lang w:val="en-GB"/>
        </w:rPr>
        <w:t xml:space="preserve">Source: </w:t>
      </w:r>
      <w:r>
        <w:rPr>
          <w:rFonts w:asciiTheme="minorHAnsi" w:hAnsiTheme="minorHAnsi"/>
          <w:i/>
          <w:sz w:val="20"/>
          <w:lang w:val="en-GB"/>
        </w:rPr>
        <w:t xml:space="preserve">GDP – World Bank; Revenue: </w:t>
      </w:r>
      <w:r w:rsidRPr="00D8583C">
        <w:rPr>
          <w:rFonts w:asciiTheme="minorHAnsi" w:hAnsiTheme="minorHAnsi"/>
          <w:i/>
          <w:sz w:val="20"/>
          <w:lang w:val="en-GB"/>
        </w:rPr>
        <w:t>AFS Various Years</w:t>
      </w:r>
    </w:p>
    <w:p w14:paraId="72E9697A" w14:textId="77777777" w:rsidR="00791AAC" w:rsidRPr="00A60749" w:rsidRDefault="00791AAC" w:rsidP="00A60749">
      <w:pPr>
        <w:rPr>
          <w:rFonts w:asciiTheme="minorHAnsi" w:hAnsiTheme="minorHAnsi"/>
          <w:color w:val="000000" w:themeColor="text1"/>
          <w:lang w:val="en-GB"/>
        </w:rPr>
      </w:pPr>
    </w:p>
    <w:p w14:paraId="2AC9C7F7" w14:textId="05205720" w:rsidR="0053185C" w:rsidRPr="00D25BE7" w:rsidRDefault="0053185C" w:rsidP="0053185C">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Essentially, a fair return as an enterprise owner (albeit a partial owner) derives from dividend payments. Matters of ensuring that the enterprise pays its full share of taxes is the domain of the Lesotho Revenue Authority (LRA), although understanding and monitoring of cash inflows (inclusive of taxes) from these investments is important.</w:t>
      </w:r>
    </w:p>
    <w:p w14:paraId="5F0ACE45" w14:textId="128F8F93" w:rsidR="001D3B74" w:rsidRPr="00D25BE7" w:rsidRDefault="001D3B74" w:rsidP="001D3B74">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 xml:space="preserve">When investment cash inflows and returns are strong, performance can be determined as good. PSD proposes that an ownership policy should be developed to identify security, strategic </w:t>
      </w:r>
      <w:r w:rsidRPr="00D25BE7">
        <w:rPr>
          <w:rFonts w:asciiTheme="minorHAnsi" w:hAnsiTheme="minorHAnsi"/>
          <w:color w:val="000000" w:themeColor="text1"/>
          <w:lang w:val="en-GB"/>
        </w:rPr>
        <w:lastRenderedPageBreak/>
        <w:t xml:space="preserve">or other rationale for government ownership in commercial businesses, regardless of the origin of any investment or past agreements to maintain minority stakes following privatization. </w:t>
      </w:r>
    </w:p>
    <w:p w14:paraId="7609D4A2" w14:textId="38F17BF7" w:rsidR="004202FB" w:rsidRPr="00D25BE7" w:rsidRDefault="004202FB" w:rsidP="0053185C">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 xml:space="preserve">Even </w:t>
      </w:r>
      <w:r w:rsidR="005F1600" w:rsidRPr="00D25BE7">
        <w:rPr>
          <w:rFonts w:asciiTheme="minorHAnsi" w:hAnsiTheme="minorHAnsi"/>
          <w:color w:val="000000" w:themeColor="text1"/>
          <w:lang w:val="en-GB"/>
        </w:rPr>
        <w:t xml:space="preserve">when </w:t>
      </w:r>
      <w:r w:rsidRPr="00D25BE7">
        <w:rPr>
          <w:rFonts w:asciiTheme="minorHAnsi" w:hAnsiTheme="minorHAnsi"/>
          <w:color w:val="000000" w:themeColor="text1"/>
          <w:lang w:val="en-GB"/>
        </w:rPr>
        <w:t>the dividend stream is good that may be the best time to consider divestment</w:t>
      </w:r>
      <w:r w:rsidR="005F1600" w:rsidRPr="00D25BE7">
        <w:rPr>
          <w:rFonts w:asciiTheme="minorHAnsi" w:hAnsiTheme="minorHAnsi"/>
          <w:color w:val="000000" w:themeColor="text1"/>
          <w:lang w:val="en-GB"/>
        </w:rPr>
        <w:t>, as values (and any sale price) is often derived from the value of expected future dividends.</w:t>
      </w:r>
    </w:p>
    <w:p w14:paraId="2013C3D5" w14:textId="51390D92" w:rsidR="001222FA" w:rsidRPr="00D25BE7" w:rsidRDefault="001222FA" w:rsidP="005F1600">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Among strong performance</w:t>
      </w:r>
      <w:r w:rsidR="00B73723" w:rsidRPr="00D25BE7">
        <w:rPr>
          <w:rFonts w:asciiTheme="minorHAnsi" w:hAnsiTheme="minorHAnsi"/>
          <w:color w:val="000000" w:themeColor="text1"/>
          <w:lang w:val="en-GB"/>
        </w:rPr>
        <w:t>s</w:t>
      </w:r>
      <w:r w:rsidRPr="00D25BE7">
        <w:rPr>
          <w:rFonts w:asciiTheme="minorHAnsi" w:hAnsiTheme="minorHAnsi"/>
          <w:color w:val="000000" w:themeColor="text1"/>
          <w:lang w:val="en-GB"/>
        </w:rPr>
        <w:t xml:space="preserve"> from </w:t>
      </w:r>
      <w:proofErr w:type="spellStart"/>
      <w:r w:rsidRPr="00D25BE7">
        <w:rPr>
          <w:rFonts w:asciiTheme="minorHAnsi" w:hAnsiTheme="minorHAnsi"/>
          <w:color w:val="000000" w:themeColor="text1"/>
          <w:lang w:val="en-GB"/>
        </w:rPr>
        <w:t>Letseng</w:t>
      </w:r>
      <w:proofErr w:type="spellEnd"/>
      <w:r w:rsidRPr="00D25BE7">
        <w:rPr>
          <w:rFonts w:asciiTheme="minorHAnsi" w:hAnsiTheme="minorHAnsi"/>
          <w:color w:val="000000" w:themeColor="text1"/>
          <w:lang w:val="en-GB"/>
        </w:rPr>
        <w:t xml:space="preserve"> Diamonds </w:t>
      </w:r>
      <w:r w:rsidR="00E002F3">
        <w:rPr>
          <w:rFonts w:asciiTheme="minorHAnsi" w:hAnsiTheme="minorHAnsi"/>
          <w:color w:val="000000" w:themeColor="text1"/>
          <w:lang w:val="en-GB"/>
        </w:rPr>
        <w:t xml:space="preserve">in 2017 </w:t>
      </w:r>
      <w:r w:rsidRPr="00D25BE7">
        <w:rPr>
          <w:rFonts w:asciiTheme="minorHAnsi" w:hAnsiTheme="minorHAnsi"/>
          <w:color w:val="000000" w:themeColor="text1"/>
          <w:lang w:val="en-GB"/>
        </w:rPr>
        <w:t xml:space="preserve">and the banking and insurance enterprises, this group also includes </w:t>
      </w:r>
      <w:r w:rsidR="00E002F3">
        <w:rPr>
          <w:rFonts w:asciiTheme="minorHAnsi" w:hAnsiTheme="minorHAnsi"/>
          <w:color w:val="000000" w:themeColor="text1"/>
          <w:lang w:val="en-GB"/>
        </w:rPr>
        <w:t>GoL’s</w:t>
      </w:r>
      <w:r w:rsidR="00E002F3" w:rsidRPr="00D25BE7">
        <w:rPr>
          <w:rFonts w:asciiTheme="minorHAnsi" w:hAnsiTheme="minorHAnsi"/>
          <w:color w:val="000000" w:themeColor="text1"/>
          <w:lang w:val="en-GB"/>
        </w:rPr>
        <w:t xml:space="preserve"> </w:t>
      </w:r>
      <w:r w:rsidRPr="00D25BE7">
        <w:rPr>
          <w:rFonts w:asciiTheme="minorHAnsi" w:hAnsiTheme="minorHAnsi"/>
          <w:color w:val="000000" w:themeColor="text1"/>
          <w:lang w:val="en-GB"/>
        </w:rPr>
        <w:t>30% stake in Econet (Telecom)</w:t>
      </w:r>
      <w:r w:rsidR="003631E0" w:rsidRPr="00D25BE7">
        <w:rPr>
          <w:rFonts w:asciiTheme="minorHAnsi" w:hAnsiTheme="minorHAnsi"/>
          <w:color w:val="000000" w:themeColor="text1"/>
          <w:lang w:val="en-GB"/>
        </w:rPr>
        <w:t xml:space="preserve"> Lesotho.</w:t>
      </w:r>
      <w:r w:rsidR="003740F7" w:rsidRPr="00D25BE7">
        <w:rPr>
          <w:rFonts w:asciiTheme="minorHAnsi" w:hAnsiTheme="minorHAnsi"/>
          <w:color w:val="000000" w:themeColor="text1"/>
          <w:lang w:val="en-GB"/>
        </w:rPr>
        <w:t xml:space="preserve"> </w:t>
      </w:r>
      <w:r w:rsidR="005F1600" w:rsidRPr="00D25BE7">
        <w:rPr>
          <w:rFonts w:asciiTheme="minorHAnsi" w:hAnsiTheme="minorHAnsi"/>
        </w:rPr>
        <w:t>Econet made losses in</w:t>
      </w:r>
      <w:r w:rsidR="00125B7A" w:rsidRPr="00D25BE7">
        <w:rPr>
          <w:rFonts w:asciiTheme="minorHAnsi" w:hAnsiTheme="minorHAnsi"/>
        </w:rPr>
        <w:t xml:space="preserve"> each of the most recent</w:t>
      </w:r>
      <w:r w:rsidR="005F1600" w:rsidRPr="00D25BE7">
        <w:rPr>
          <w:rFonts w:asciiTheme="minorHAnsi" w:hAnsiTheme="minorHAnsi"/>
        </w:rPr>
        <w:t xml:space="preserve"> years </w:t>
      </w:r>
      <w:r w:rsidR="007F0658" w:rsidRPr="00D25BE7">
        <w:rPr>
          <w:rFonts w:asciiTheme="minorHAnsi" w:hAnsiTheme="minorHAnsi"/>
        </w:rPr>
        <w:t xml:space="preserve">and increased its level of debt. </w:t>
      </w:r>
      <w:r w:rsidR="005F1600" w:rsidRPr="00D25BE7">
        <w:rPr>
          <w:rFonts w:asciiTheme="minorHAnsi" w:hAnsiTheme="minorHAnsi"/>
        </w:rPr>
        <w:t xml:space="preserve">Since 2015 Econet Telecom Lesotho has also been in arrears on repayments of a loan from EXIMBANK of China, on-lent by </w:t>
      </w:r>
      <w:r w:rsidR="00282533">
        <w:rPr>
          <w:rFonts w:asciiTheme="minorHAnsi" w:hAnsiTheme="minorHAnsi"/>
        </w:rPr>
        <w:t>GoL</w:t>
      </w:r>
      <w:r w:rsidR="005F1600" w:rsidRPr="00D25BE7">
        <w:rPr>
          <w:rFonts w:asciiTheme="minorHAnsi" w:hAnsiTheme="minorHAnsi"/>
        </w:rPr>
        <w:t xml:space="preserve">. </w:t>
      </w:r>
    </w:p>
    <w:p w14:paraId="6F5A0D6C" w14:textId="50128355" w:rsidR="00463A0C" w:rsidRPr="00A60749" w:rsidRDefault="00282533" w:rsidP="00463A0C">
      <w:pPr>
        <w:pStyle w:val="ListParagraph"/>
        <w:ind w:left="426" w:hanging="426"/>
        <w:rPr>
          <w:rFonts w:asciiTheme="minorHAnsi" w:hAnsiTheme="minorHAnsi"/>
          <w:color w:val="000000" w:themeColor="text1"/>
          <w:lang w:val="en-GB"/>
        </w:rPr>
      </w:pPr>
      <w:r>
        <w:rPr>
          <w:rFonts w:asciiTheme="minorHAnsi" w:hAnsiTheme="minorHAnsi"/>
        </w:rPr>
        <w:t>LFM’</w:t>
      </w:r>
      <w:r w:rsidR="00791AAC">
        <w:rPr>
          <w:rFonts w:asciiTheme="minorHAnsi" w:hAnsiTheme="minorHAnsi"/>
        </w:rPr>
        <w:t>s</w:t>
      </w:r>
      <w:r>
        <w:rPr>
          <w:rFonts w:asciiTheme="minorHAnsi" w:hAnsiTheme="minorHAnsi"/>
        </w:rPr>
        <w:t xml:space="preserve"> performance has been inconsistent with no dividends declared</w:t>
      </w:r>
      <w:r w:rsidR="000C672B" w:rsidRPr="00D25BE7">
        <w:rPr>
          <w:rFonts w:asciiTheme="minorHAnsi" w:hAnsiTheme="minorHAnsi"/>
        </w:rPr>
        <w:t xml:space="preserve">. As with other SOEs there is concern about the value of the shareholding relationship and management agreement and the allusion of transfer </w:t>
      </w:r>
      <w:r w:rsidR="00F046BB">
        <w:rPr>
          <w:rFonts w:asciiTheme="minorHAnsi" w:hAnsiTheme="minorHAnsi"/>
        </w:rPr>
        <w:t>mis-</w:t>
      </w:r>
      <w:r w:rsidR="000C672B" w:rsidRPr="00D25BE7">
        <w:rPr>
          <w:rFonts w:asciiTheme="minorHAnsi" w:hAnsiTheme="minorHAnsi"/>
        </w:rPr>
        <w:t xml:space="preserve">pricing. Seaboard have been partners, operating the Flour Mill for over 20 years with significant </w:t>
      </w:r>
      <w:r w:rsidR="00F046BB">
        <w:rPr>
          <w:rFonts w:asciiTheme="minorHAnsi" w:hAnsiTheme="minorHAnsi"/>
        </w:rPr>
        <w:t>payments made</w:t>
      </w:r>
      <w:r w:rsidR="00F046BB" w:rsidRPr="00D25BE7">
        <w:rPr>
          <w:rFonts w:asciiTheme="minorHAnsi" w:hAnsiTheme="minorHAnsi"/>
        </w:rPr>
        <w:t xml:space="preserve"> </w:t>
      </w:r>
      <w:r w:rsidR="000C672B" w:rsidRPr="00D25BE7">
        <w:rPr>
          <w:rFonts w:asciiTheme="minorHAnsi" w:hAnsiTheme="minorHAnsi"/>
        </w:rPr>
        <w:t xml:space="preserve">to expatriate managers, fees and consultants and little return to government. </w:t>
      </w:r>
      <w:r w:rsidR="00912083" w:rsidRPr="00D25BE7">
        <w:rPr>
          <w:rFonts w:asciiTheme="minorHAnsi" w:hAnsiTheme="minorHAnsi"/>
        </w:rPr>
        <w:t xml:space="preserve">However, </w:t>
      </w:r>
      <w:r w:rsidR="00F046BB">
        <w:rPr>
          <w:rFonts w:asciiTheme="minorHAnsi" w:hAnsiTheme="minorHAnsi"/>
        </w:rPr>
        <w:t>LFM</w:t>
      </w:r>
      <w:r w:rsidR="00912083" w:rsidRPr="00D25BE7">
        <w:rPr>
          <w:rFonts w:asciiTheme="minorHAnsi" w:hAnsiTheme="minorHAnsi"/>
        </w:rPr>
        <w:t xml:space="preserve"> posted a much improved result for the year ended 2016/17, after 44% revenue growth in the year.</w:t>
      </w:r>
      <w:r w:rsidR="00AD5142" w:rsidRPr="00D25BE7">
        <w:rPr>
          <w:rFonts w:asciiTheme="minorHAnsi" w:hAnsiTheme="minorHAnsi"/>
        </w:rPr>
        <w:t xml:space="preserve">  </w:t>
      </w:r>
    </w:p>
    <w:p w14:paraId="2EFECE8D" w14:textId="2A1411D3" w:rsidR="00F046BB" w:rsidRPr="00084C8B" w:rsidRDefault="00F046BB" w:rsidP="00F046BB">
      <w:pPr>
        <w:pStyle w:val="ListParagraph"/>
        <w:ind w:left="426" w:hanging="426"/>
        <w:rPr>
          <w:rFonts w:asciiTheme="minorHAnsi" w:hAnsiTheme="minorHAnsi"/>
          <w:b/>
          <w:color w:val="000000" w:themeColor="text1"/>
          <w:lang w:val="en-GB"/>
        </w:rPr>
      </w:pPr>
      <w:r w:rsidRPr="00084C8B">
        <w:rPr>
          <w:rFonts w:asciiTheme="minorHAnsi" w:hAnsiTheme="minorHAnsi"/>
          <w:b/>
        </w:rPr>
        <w:t>Figure 9</w:t>
      </w:r>
      <w:r w:rsidRPr="00084C8B">
        <w:rPr>
          <w:rFonts w:asciiTheme="minorHAnsi" w:hAnsiTheme="minorHAnsi"/>
          <w:b/>
          <w:color w:val="000000" w:themeColor="text1"/>
          <w:lang w:val="en-GB"/>
        </w:rPr>
        <w:t xml:space="preserve">. Minority Holdings: Assets v Equity </w:t>
      </w:r>
    </w:p>
    <w:p w14:paraId="346ADFD1" w14:textId="173A8C01" w:rsidR="000B62C4" w:rsidRDefault="008F5D30" w:rsidP="00A60749">
      <w:pPr>
        <w:rPr>
          <w:rFonts w:asciiTheme="minorHAnsi" w:hAnsiTheme="minorHAnsi"/>
          <w:color w:val="000000" w:themeColor="text1"/>
          <w:lang w:val="en-GB"/>
        </w:rPr>
      </w:pPr>
      <w:r w:rsidRPr="00D25BE7">
        <w:rPr>
          <w:noProof/>
        </w:rPr>
        <w:drawing>
          <wp:inline distT="0" distB="0" distL="0" distR="0" wp14:anchorId="3C19C161" wp14:editId="51A7D763">
            <wp:extent cx="4990465" cy="2613660"/>
            <wp:effectExtent l="25400" t="25400" r="89535" b="10414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14522C7" w14:textId="77777777" w:rsidR="00791AAC" w:rsidRDefault="00791AAC" w:rsidP="00A60749">
      <w:pPr>
        <w:rPr>
          <w:rFonts w:asciiTheme="minorHAnsi" w:hAnsiTheme="minorHAnsi"/>
          <w:color w:val="000000" w:themeColor="text1"/>
          <w:lang w:val="en-GB"/>
        </w:rPr>
      </w:pPr>
    </w:p>
    <w:p w14:paraId="05612298" w14:textId="08B84003" w:rsidR="00791AAC" w:rsidRPr="00D8583C" w:rsidRDefault="00791AAC" w:rsidP="00084C8B">
      <w:pPr>
        <w:ind w:firstLine="426"/>
        <w:rPr>
          <w:rFonts w:asciiTheme="minorHAnsi" w:hAnsiTheme="minorHAnsi"/>
          <w:i/>
          <w:sz w:val="20"/>
          <w:lang w:val="en-GB"/>
        </w:rPr>
      </w:pPr>
      <w:r w:rsidRPr="00D8583C">
        <w:rPr>
          <w:rFonts w:asciiTheme="minorHAnsi" w:hAnsiTheme="minorHAnsi"/>
          <w:i/>
          <w:sz w:val="20"/>
          <w:lang w:val="en-GB"/>
        </w:rPr>
        <w:t>Source: AFS Various Years</w:t>
      </w:r>
    </w:p>
    <w:p w14:paraId="04541067" w14:textId="77777777" w:rsidR="00791AAC" w:rsidRPr="00A60749" w:rsidRDefault="00791AAC" w:rsidP="00A60749">
      <w:pPr>
        <w:rPr>
          <w:rFonts w:asciiTheme="minorHAnsi" w:hAnsiTheme="minorHAnsi"/>
          <w:color w:val="000000" w:themeColor="text1"/>
          <w:lang w:val="en-GB"/>
        </w:rPr>
      </w:pPr>
    </w:p>
    <w:p w14:paraId="3AC3947F" w14:textId="3A14E92E" w:rsidR="00463A0C" w:rsidRPr="00D25BE7" w:rsidRDefault="003C2A10" w:rsidP="00463A0C">
      <w:pPr>
        <w:pStyle w:val="ListParagraph"/>
        <w:ind w:left="426" w:hanging="426"/>
        <w:rPr>
          <w:rFonts w:asciiTheme="minorHAnsi" w:hAnsiTheme="minorHAnsi"/>
          <w:color w:val="000000" w:themeColor="text1"/>
          <w:lang w:val="en-GB"/>
        </w:rPr>
      </w:pPr>
      <w:r>
        <w:rPr>
          <w:rFonts w:asciiTheme="minorHAnsi" w:hAnsiTheme="minorHAnsi"/>
          <w:lang w:val="en-GB"/>
        </w:rPr>
        <w:t>The</w:t>
      </w:r>
      <w:r w:rsidR="008B0838" w:rsidRPr="00D25BE7">
        <w:rPr>
          <w:rFonts w:asciiTheme="minorHAnsi" w:hAnsiTheme="minorHAnsi"/>
          <w:lang w:val="en-GB"/>
        </w:rPr>
        <w:t xml:space="preserve"> t</w:t>
      </w:r>
      <w:r w:rsidR="005F7D4B" w:rsidRPr="00D25BE7">
        <w:rPr>
          <w:rFonts w:asciiTheme="minorHAnsi" w:hAnsiTheme="minorHAnsi"/>
          <w:lang w:val="en-GB"/>
        </w:rPr>
        <w:t xml:space="preserve">rends within this group </w:t>
      </w:r>
      <w:r>
        <w:rPr>
          <w:rFonts w:asciiTheme="minorHAnsi" w:hAnsiTheme="minorHAnsi"/>
          <w:lang w:val="en-GB"/>
        </w:rPr>
        <w:t>have been</w:t>
      </w:r>
      <w:r w:rsidRPr="00D25BE7">
        <w:rPr>
          <w:rFonts w:asciiTheme="minorHAnsi" w:hAnsiTheme="minorHAnsi"/>
          <w:lang w:val="en-GB"/>
        </w:rPr>
        <w:t xml:space="preserve"> </w:t>
      </w:r>
      <w:r w:rsidR="00463A0C" w:rsidRPr="00D25BE7">
        <w:rPr>
          <w:rFonts w:asciiTheme="minorHAnsi" w:hAnsiTheme="minorHAnsi"/>
          <w:lang w:val="en-GB"/>
        </w:rPr>
        <w:t>influenced by the size of the contributions from</w:t>
      </w:r>
      <w:r w:rsidR="008B0838" w:rsidRPr="00D25BE7">
        <w:rPr>
          <w:rFonts w:asciiTheme="minorHAnsi" w:hAnsiTheme="minorHAnsi"/>
          <w:lang w:val="en-GB"/>
        </w:rPr>
        <w:t xml:space="preserve"> </w:t>
      </w:r>
      <w:proofErr w:type="spellStart"/>
      <w:r w:rsidR="008B0838" w:rsidRPr="00D25BE7">
        <w:rPr>
          <w:rFonts w:asciiTheme="minorHAnsi" w:hAnsiTheme="minorHAnsi"/>
          <w:lang w:val="en-GB"/>
        </w:rPr>
        <w:t>Letseng</w:t>
      </w:r>
      <w:proofErr w:type="spellEnd"/>
      <w:r w:rsidR="008B0838" w:rsidRPr="00D25BE7">
        <w:rPr>
          <w:rFonts w:asciiTheme="minorHAnsi" w:hAnsiTheme="minorHAnsi"/>
          <w:lang w:val="en-GB"/>
        </w:rPr>
        <w:t xml:space="preserve"> Diamonds</w:t>
      </w:r>
      <w:r w:rsidR="00463A0C" w:rsidRPr="00D25BE7">
        <w:rPr>
          <w:rFonts w:asciiTheme="minorHAnsi" w:hAnsiTheme="minorHAnsi"/>
          <w:lang w:val="en-GB"/>
        </w:rPr>
        <w:t xml:space="preserve">, </w:t>
      </w:r>
      <w:r w:rsidR="00463A0C" w:rsidRPr="00D25BE7">
        <w:rPr>
          <w:rFonts w:asciiTheme="minorHAnsi" w:hAnsiTheme="minorHAnsi"/>
          <w:color w:val="000000" w:themeColor="text1"/>
          <w:lang w:val="en-GB"/>
        </w:rPr>
        <w:t xml:space="preserve">which has contributed a total of M751million in dividends to Government during the last </w:t>
      </w:r>
      <w:r>
        <w:rPr>
          <w:rFonts w:asciiTheme="minorHAnsi" w:hAnsiTheme="minorHAnsi"/>
          <w:color w:val="000000" w:themeColor="text1"/>
          <w:lang w:val="en-GB"/>
        </w:rPr>
        <w:t xml:space="preserve">few </w:t>
      </w:r>
      <w:r w:rsidR="00463A0C" w:rsidRPr="00D25BE7">
        <w:rPr>
          <w:rFonts w:asciiTheme="minorHAnsi" w:hAnsiTheme="minorHAnsi"/>
          <w:color w:val="000000" w:themeColor="text1"/>
          <w:lang w:val="en-GB"/>
        </w:rPr>
        <w:t>years</w:t>
      </w:r>
      <w:r>
        <w:rPr>
          <w:rFonts w:asciiTheme="minorHAnsi" w:hAnsiTheme="minorHAnsi"/>
          <w:lang w:val="en-GB"/>
        </w:rPr>
        <w:t xml:space="preserve"> but has not declared any dividends for 2017/2018.</w:t>
      </w:r>
    </w:p>
    <w:p w14:paraId="706176D8" w14:textId="67C98C36" w:rsidR="00463A0C" w:rsidRPr="00D25BE7" w:rsidRDefault="00463A0C" w:rsidP="00463A0C">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 xml:space="preserve">Generally, the banking and insurance industry </w:t>
      </w:r>
      <w:r w:rsidR="007C02C8">
        <w:rPr>
          <w:rFonts w:asciiTheme="minorHAnsi" w:hAnsiTheme="minorHAnsi"/>
          <w:color w:val="000000" w:themeColor="text1"/>
          <w:lang w:val="en-GB"/>
        </w:rPr>
        <w:t>companies</w:t>
      </w:r>
      <w:r w:rsidR="007C02C8" w:rsidRPr="00D25BE7">
        <w:rPr>
          <w:rFonts w:asciiTheme="minorHAnsi" w:hAnsiTheme="minorHAnsi"/>
          <w:color w:val="000000" w:themeColor="text1"/>
          <w:lang w:val="en-GB"/>
        </w:rPr>
        <w:t xml:space="preserve"> </w:t>
      </w:r>
      <w:r w:rsidRPr="00D25BE7">
        <w:rPr>
          <w:rFonts w:asciiTheme="minorHAnsi" w:hAnsiTheme="minorHAnsi"/>
          <w:color w:val="000000" w:themeColor="text1"/>
          <w:lang w:val="en-GB"/>
        </w:rPr>
        <w:t>performed satisfactorily, although it is unclear if the rate of dividend pay-out is optimal or undermined by excessive management costs and fees.</w:t>
      </w:r>
    </w:p>
    <w:p w14:paraId="75034461" w14:textId="1F282539" w:rsidR="00463A0C" w:rsidRPr="00D25BE7" w:rsidRDefault="00463A0C" w:rsidP="00463A0C">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lastRenderedPageBreak/>
        <w:t>While trend graphs indicative positive growth across all indicators they also show that the rate of growth is slowing. This is partly the high growth rates of recent times and the maturing of some of the businesses. It might be expected that continued growth is at more modest levels in future.</w:t>
      </w:r>
    </w:p>
    <w:p w14:paraId="351E03A0" w14:textId="348B8712" w:rsidR="005F7D4B" w:rsidRPr="00A60749" w:rsidRDefault="005F7D4B" w:rsidP="00463A0C">
      <w:pPr>
        <w:pStyle w:val="ListParagraph"/>
        <w:ind w:left="426" w:hanging="426"/>
        <w:rPr>
          <w:rFonts w:asciiTheme="minorHAnsi" w:hAnsiTheme="minorHAnsi"/>
          <w:b/>
          <w:color w:val="000000" w:themeColor="text1"/>
          <w:sz w:val="20"/>
          <w:lang w:val="en-GB"/>
        </w:rPr>
      </w:pPr>
      <w:r w:rsidRPr="00A60749">
        <w:rPr>
          <w:rFonts w:asciiTheme="minorHAnsi" w:hAnsiTheme="minorHAnsi"/>
          <w:b/>
          <w:sz w:val="20"/>
          <w:lang w:val="en-GB"/>
        </w:rPr>
        <w:t xml:space="preserve">Figure </w:t>
      </w:r>
      <w:r w:rsidR="007C02C8">
        <w:rPr>
          <w:rFonts w:asciiTheme="minorHAnsi" w:hAnsiTheme="minorHAnsi"/>
          <w:b/>
          <w:sz w:val="20"/>
          <w:lang w:val="en-GB"/>
        </w:rPr>
        <w:t>10</w:t>
      </w:r>
      <w:r w:rsidRPr="00A60749">
        <w:rPr>
          <w:rFonts w:asciiTheme="minorHAnsi" w:hAnsiTheme="minorHAnsi"/>
          <w:b/>
          <w:sz w:val="20"/>
          <w:lang w:val="en-GB"/>
        </w:rPr>
        <w:t>:</w:t>
      </w:r>
      <w:r w:rsidR="008400D4">
        <w:rPr>
          <w:rFonts w:asciiTheme="minorHAnsi" w:hAnsiTheme="minorHAnsi"/>
          <w:b/>
          <w:sz w:val="20"/>
          <w:lang w:val="en-GB"/>
        </w:rPr>
        <w:t xml:space="preserve"> Minority Holdings: Returns over 6 Year</w:t>
      </w:r>
    </w:p>
    <w:p w14:paraId="7BBE33A5" w14:textId="37EC1718" w:rsidR="00C51DD8" w:rsidRDefault="008F5D30" w:rsidP="00463A0C">
      <w:pPr>
        <w:pStyle w:val="ListParagraph"/>
        <w:numPr>
          <w:ilvl w:val="0"/>
          <w:numId w:val="0"/>
        </w:numPr>
        <w:ind w:left="426"/>
        <w:rPr>
          <w:rFonts w:asciiTheme="minorHAnsi" w:hAnsiTheme="minorHAnsi"/>
          <w:color w:val="000000" w:themeColor="text1"/>
          <w:lang w:val="en-GB"/>
        </w:rPr>
      </w:pPr>
      <w:r w:rsidRPr="00D25BE7">
        <w:rPr>
          <w:rFonts w:asciiTheme="minorHAnsi" w:hAnsiTheme="minorHAnsi"/>
          <w:noProof/>
        </w:rPr>
        <w:drawing>
          <wp:inline distT="0" distB="0" distL="0" distR="0" wp14:anchorId="38473594" wp14:editId="11B01C3D">
            <wp:extent cx="4990465" cy="2669540"/>
            <wp:effectExtent l="0" t="0" r="13335" b="2286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8F9C80B" w14:textId="77777777" w:rsidR="007C02C8" w:rsidRPr="00D8583C" w:rsidRDefault="007C02C8" w:rsidP="00084C8B">
      <w:pPr>
        <w:ind w:firstLine="426"/>
        <w:rPr>
          <w:rFonts w:asciiTheme="minorHAnsi" w:hAnsiTheme="minorHAnsi"/>
          <w:i/>
          <w:sz w:val="20"/>
          <w:lang w:val="en-GB"/>
        </w:rPr>
      </w:pPr>
      <w:r w:rsidRPr="00D8583C">
        <w:rPr>
          <w:rFonts w:asciiTheme="minorHAnsi" w:hAnsiTheme="minorHAnsi"/>
          <w:i/>
          <w:sz w:val="20"/>
          <w:lang w:val="en-GB"/>
        </w:rPr>
        <w:t>Source: SOE AFS Various Years</w:t>
      </w:r>
    </w:p>
    <w:p w14:paraId="0ED9EA2F" w14:textId="77777777" w:rsidR="007C02C8" w:rsidRPr="00D25BE7" w:rsidRDefault="007C02C8" w:rsidP="00463A0C">
      <w:pPr>
        <w:pStyle w:val="ListParagraph"/>
        <w:numPr>
          <w:ilvl w:val="0"/>
          <w:numId w:val="0"/>
        </w:numPr>
        <w:ind w:left="426"/>
        <w:rPr>
          <w:rFonts w:asciiTheme="minorHAnsi" w:hAnsiTheme="minorHAnsi"/>
          <w:color w:val="000000" w:themeColor="text1"/>
          <w:lang w:val="en-GB"/>
        </w:rPr>
      </w:pPr>
    </w:p>
    <w:p w14:paraId="4AD4152D" w14:textId="513988B0" w:rsidR="00C51DD8" w:rsidRPr="00D25BE7" w:rsidRDefault="00C51DD8" w:rsidP="00C51DD8">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Relevant performance data for FY’1</w:t>
      </w:r>
      <w:r w:rsidR="00377C70">
        <w:rPr>
          <w:rFonts w:asciiTheme="minorHAnsi" w:hAnsiTheme="minorHAnsi"/>
          <w:color w:val="000000" w:themeColor="text1"/>
          <w:lang w:val="en-GB"/>
        </w:rPr>
        <w:t>8</w:t>
      </w:r>
      <w:r w:rsidRPr="00D25BE7">
        <w:rPr>
          <w:rFonts w:asciiTheme="minorHAnsi" w:hAnsiTheme="minorHAnsi"/>
          <w:color w:val="000000" w:themeColor="text1"/>
          <w:lang w:val="en-GB"/>
        </w:rPr>
        <w:t xml:space="preserve"> is:</w:t>
      </w:r>
    </w:p>
    <w:p w14:paraId="453D37D7" w14:textId="273DB6C2" w:rsidR="00C51DD8" w:rsidRPr="00A60749" w:rsidRDefault="00C51DD8" w:rsidP="00C51DD8">
      <w:pPr>
        <w:ind w:firstLine="426"/>
        <w:rPr>
          <w:rFonts w:asciiTheme="minorHAnsi" w:hAnsiTheme="minorHAnsi"/>
          <w:b/>
          <w:sz w:val="20"/>
          <w:lang w:val="en-GB"/>
        </w:rPr>
      </w:pPr>
      <w:r w:rsidRPr="00A60749">
        <w:rPr>
          <w:rFonts w:asciiTheme="minorHAnsi" w:hAnsiTheme="minorHAnsi"/>
          <w:b/>
          <w:sz w:val="20"/>
          <w:lang w:val="en-GB"/>
        </w:rPr>
        <w:t xml:space="preserve">Table </w:t>
      </w:r>
      <w:r w:rsidR="00377C70">
        <w:rPr>
          <w:rFonts w:asciiTheme="minorHAnsi" w:hAnsiTheme="minorHAnsi"/>
          <w:b/>
          <w:sz w:val="20"/>
          <w:lang w:val="en-GB"/>
        </w:rPr>
        <w:t>7</w:t>
      </w:r>
      <w:r w:rsidRPr="00A60749">
        <w:rPr>
          <w:rFonts w:asciiTheme="minorHAnsi" w:hAnsiTheme="minorHAnsi"/>
          <w:b/>
          <w:sz w:val="20"/>
          <w:lang w:val="en-GB"/>
        </w:rPr>
        <w:t>: Performance Highlights – Government Minority Holdings</w:t>
      </w:r>
    </w:p>
    <w:p w14:paraId="5B6BE6CE" w14:textId="77777777" w:rsidR="00EF5129" w:rsidRPr="00D25BE7" w:rsidRDefault="00EF5129" w:rsidP="00C51DD8">
      <w:pPr>
        <w:ind w:firstLine="426"/>
        <w:rPr>
          <w:rFonts w:asciiTheme="minorHAnsi" w:hAnsiTheme="minorHAnsi"/>
          <w:sz w:val="18"/>
          <w:szCs w:val="18"/>
          <w:lang w:val="en-GB"/>
        </w:rPr>
      </w:pPr>
    </w:p>
    <w:tbl>
      <w:tblPr>
        <w:tblW w:w="7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6"/>
        <w:gridCol w:w="1315"/>
        <w:gridCol w:w="1315"/>
        <w:gridCol w:w="1315"/>
        <w:gridCol w:w="1315"/>
      </w:tblGrid>
      <w:tr w:rsidR="00BB2916" w:rsidRPr="001E16D5" w14:paraId="7BBF1B26" w14:textId="77777777" w:rsidTr="00084C8B">
        <w:trPr>
          <w:trHeight w:val="360"/>
          <w:tblHeader/>
          <w:jc w:val="center"/>
        </w:trPr>
        <w:tc>
          <w:tcPr>
            <w:tcW w:w="2676" w:type="dxa"/>
            <w:shd w:val="clear" w:color="auto" w:fill="D9D9D9" w:themeFill="background1" w:themeFillShade="D9"/>
            <w:noWrap/>
            <w:vAlign w:val="center"/>
            <w:hideMark/>
          </w:tcPr>
          <w:p w14:paraId="5893FA70" w14:textId="77777777" w:rsidR="00BB2916" w:rsidRPr="00084C8B" w:rsidRDefault="00BB2916" w:rsidP="00E97A0B">
            <w:pPr>
              <w:ind w:firstLine="42"/>
              <w:rPr>
                <w:rFonts w:asciiTheme="minorHAnsi" w:hAnsiTheme="minorHAnsi"/>
                <w:sz w:val="18"/>
                <w:szCs w:val="18"/>
                <w:lang w:eastAsia="en-GB"/>
              </w:rPr>
            </w:pPr>
            <w:r w:rsidRPr="00084C8B">
              <w:rPr>
                <w:rFonts w:asciiTheme="minorHAnsi" w:hAnsiTheme="minorHAnsi"/>
                <w:sz w:val="18"/>
                <w:szCs w:val="18"/>
                <w:lang w:eastAsia="en-GB"/>
              </w:rPr>
              <w:t>Performance Highlights (M '000)</w:t>
            </w:r>
          </w:p>
        </w:tc>
        <w:tc>
          <w:tcPr>
            <w:tcW w:w="1315" w:type="dxa"/>
            <w:shd w:val="clear" w:color="auto" w:fill="D9D9D9" w:themeFill="background1" w:themeFillShade="D9"/>
            <w:vAlign w:val="center"/>
          </w:tcPr>
          <w:p w14:paraId="7ED02DA4" w14:textId="32B5DBC9" w:rsidR="00BB2916" w:rsidRPr="00084C8B" w:rsidRDefault="00BB2916" w:rsidP="00E97A0B">
            <w:pPr>
              <w:jc w:val="center"/>
              <w:rPr>
                <w:rFonts w:asciiTheme="minorHAnsi" w:hAnsiTheme="minorHAnsi" w:cstheme="minorHAnsi"/>
                <w:b/>
                <w:bCs/>
                <w:sz w:val="18"/>
                <w:szCs w:val="18"/>
                <w:lang w:eastAsia="en-GB"/>
              </w:rPr>
            </w:pPr>
            <w:r w:rsidRPr="00084C8B">
              <w:rPr>
                <w:rFonts w:asciiTheme="minorHAnsi" w:hAnsiTheme="minorHAnsi" w:cstheme="minorHAnsi"/>
                <w:b/>
                <w:bCs/>
                <w:sz w:val="18"/>
                <w:szCs w:val="18"/>
                <w:lang w:eastAsia="en-GB"/>
              </w:rPr>
              <w:t>2014/15</w:t>
            </w:r>
          </w:p>
        </w:tc>
        <w:tc>
          <w:tcPr>
            <w:tcW w:w="1315" w:type="dxa"/>
            <w:shd w:val="clear" w:color="auto" w:fill="D9D9D9" w:themeFill="background1" w:themeFillShade="D9"/>
            <w:vAlign w:val="center"/>
          </w:tcPr>
          <w:p w14:paraId="3FFB7188" w14:textId="0B36ED9A" w:rsidR="00BB2916" w:rsidRPr="00084C8B" w:rsidRDefault="00BB2916" w:rsidP="00E97A0B">
            <w:pPr>
              <w:jc w:val="center"/>
              <w:rPr>
                <w:rFonts w:asciiTheme="minorHAnsi" w:hAnsiTheme="minorHAnsi" w:cstheme="minorHAnsi"/>
                <w:b/>
                <w:bCs/>
                <w:color w:val="000000"/>
                <w:sz w:val="18"/>
                <w:szCs w:val="18"/>
                <w:lang w:eastAsia="en-GB"/>
              </w:rPr>
            </w:pPr>
            <w:r w:rsidRPr="00084C8B">
              <w:rPr>
                <w:rFonts w:asciiTheme="minorHAnsi" w:hAnsiTheme="minorHAnsi" w:cstheme="minorHAnsi"/>
                <w:b/>
                <w:bCs/>
                <w:sz w:val="18"/>
                <w:szCs w:val="18"/>
                <w:lang w:eastAsia="en-GB"/>
              </w:rPr>
              <w:t>2015/16</w:t>
            </w:r>
          </w:p>
        </w:tc>
        <w:tc>
          <w:tcPr>
            <w:tcW w:w="1315" w:type="dxa"/>
            <w:shd w:val="clear" w:color="auto" w:fill="D9D9D9" w:themeFill="background1" w:themeFillShade="D9"/>
            <w:vAlign w:val="center"/>
          </w:tcPr>
          <w:p w14:paraId="2C3F35E4" w14:textId="3B1A46BE" w:rsidR="00BB2916" w:rsidRPr="00084C8B" w:rsidRDefault="00BB2916" w:rsidP="00E97A0B">
            <w:pPr>
              <w:jc w:val="center"/>
              <w:rPr>
                <w:rFonts w:asciiTheme="minorHAnsi" w:hAnsiTheme="minorHAnsi" w:cstheme="minorHAnsi"/>
                <w:b/>
                <w:bCs/>
                <w:color w:val="000000"/>
                <w:sz w:val="18"/>
                <w:szCs w:val="18"/>
                <w:lang w:eastAsia="en-GB"/>
              </w:rPr>
            </w:pPr>
            <w:r w:rsidRPr="00084C8B">
              <w:rPr>
                <w:rFonts w:asciiTheme="minorHAnsi" w:hAnsiTheme="minorHAnsi" w:cstheme="minorHAnsi"/>
                <w:b/>
                <w:bCs/>
                <w:sz w:val="18"/>
                <w:szCs w:val="18"/>
                <w:lang w:eastAsia="en-GB"/>
              </w:rPr>
              <w:t>2016/17</w:t>
            </w:r>
          </w:p>
        </w:tc>
        <w:tc>
          <w:tcPr>
            <w:tcW w:w="1315" w:type="dxa"/>
            <w:shd w:val="clear" w:color="auto" w:fill="D9D9D9" w:themeFill="background1" w:themeFillShade="D9"/>
            <w:vAlign w:val="center"/>
          </w:tcPr>
          <w:p w14:paraId="6A7DB3EF" w14:textId="3B114939" w:rsidR="00BB2916" w:rsidRPr="00084C8B" w:rsidRDefault="00BB2916" w:rsidP="00E97A0B">
            <w:pPr>
              <w:jc w:val="center"/>
              <w:rPr>
                <w:rFonts w:asciiTheme="minorHAnsi" w:hAnsiTheme="minorHAnsi" w:cstheme="minorHAnsi"/>
                <w:b/>
                <w:bCs/>
                <w:color w:val="000000"/>
                <w:sz w:val="18"/>
                <w:szCs w:val="18"/>
                <w:lang w:eastAsia="en-GB"/>
              </w:rPr>
            </w:pPr>
            <w:r w:rsidRPr="00084C8B">
              <w:rPr>
                <w:rFonts w:asciiTheme="minorHAnsi" w:hAnsiTheme="minorHAnsi" w:cstheme="minorHAnsi"/>
                <w:b/>
                <w:bCs/>
                <w:sz w:val="18"/>
                <w:szCs w:val="18"/>
                <w:lang w:eastAsia="en-GB"/>
              </w:rPr>
              <w:t>2017/18</w:t>
            </w:r>
          </w:p>
        </w:tc>
      </w:tr>
      <w:tr w:rsidR="007E1BF0" w:rsidRPr="001E16D5" w14:paraId="6C1251E6" w14:textId="77777777" w:rsidTr="00084C8B">
        <w:trPr>
          <w:trHeight w:val="360"/>
          <w:jc w:val="center"/>
        </w:trPr>
        <w:tc>
          <w:tcPr>
            <w:tcW w:w="2676" w:type="dxa"/>
            <w:shd w:val="clear" w:color="000000" w:fill="FFFFFF"/>
            <w:noWrap/>
            <w:vAlign w:val="center"/>
            <w:hideMark/>
          </w:tcPr>
          <w:p w14:paraId="6D8185BA" w14:textId="77777777" w:rsidR="007E1BF0" w:rsidRPr="00084C8B" w:rsidRDefault="007E1BF0" w:rsidP="00E97A0B">
            <w:pPr>
              <w:rPr>
                <w:rFonts w:asciiTheme="minorHAnsi" w:hAnsiTheme="minorHAnsi" w:cstheme="minorHAnsi"/>
                <w:sz w:val="18"/>
                <w:szCs w:val="18"/>
                <w:lang w:eastAsia="en-GB"/>
              </w:rPr>
            </w:pPr>
            <w:r w:rsidRPr="00084C8B">
              <w:rPr>
                <w:rFonts w:asciiTheme="minorHAnsi" w:hAnsiTheme="minorHAnsi" w:cstheme="minorHAnsi"/>
                <w:sz w:val="18"/>
                <w:szCs w:val="18"/>
                <w:lang w:eastAsia="en-GB"/>
              </w:rPr>
              <w:t>Total Revenue</w:t>
            </w:r>
          </w:p>
        </w:tc>
        <w:tc>
          <w:tcPr>
            <w:tcW w:w="1315" w:type="dxa"/>
            <w:vAlign w:val="center"/>
          </w:tcPr>
          <w:p w14:paraId="5F080094" w14:textId="392E7F25"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6,321,173</w:t>
            </w:r>
          </w:p>
        </w:tc>
        <w:tc>
          <w:tcPr>
            <w:tcW w:w="1315" w:type="dxa"/>
            <w:vAlign w:val="center"/>
          </w:tcPr>
          <w:p w14:paraId="1CF41367" w14:textId="6C24C7FE"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6,485,169</w:t>
            </w:r>
          </w:p>
        </w:tc>
        <w:tc>
          <w:tcPr>
            <w:tcW w:w="1315" w:type="dxa"/>
            <w:vAlign w:val="center"/>
          </w:tcPr>
          <w:p w14:paraId="5A99205F" w14:textId="36C23E47"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6,275,157</w:t>
            </w:r>
          </w:p>
        </w:tc>
        <w:tc>
          <w:tcPr>
            <w:tcW w:w="1315" w:type="dxa"/>
            <w:vAlign w:val="center"/>
          </w:tcPr>
          <w:p w14:paraId="2F8ECE66" w14:textId="47D70BF9"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Arial"/>
                <w:color w:val="000000"/>
                <w:sz w:val="18"/>
                <w:szCs w:val="18"/>
              </w:rPr>
              <w:t>5,779,167</w:t>
            </w:r>
          </w:p>
        </w:tc>
      </w:tr>
      <w:tr w:rsidR="007E1BF0" w:rsidRPr="001E16D5" w14:paraId="2A83977C" w14:textId="77777777" w:rsidTr="00084C8B">
        <w:trPr>
          <w:trHeight w:val="360"/>
          <w:jc w:val="center"/>
        </w:trPr>
        <w:tc>
          <w:tcPr>
            <w:tcW w:w="2676" w:type="dxa"/>
            <w:shd w:val="clear" w:color="000000" w:fill="FFFFFF"/>
            <w:noWrap/>
            <w:vAlign w:val="center"/>
            <w:hideMark/>
          </w:tcPr>
          <w:p w14:paraId="15DCE85B" w14:textId="77777777" w:rsidR="007E1BF0" w:rsidRPr="005206D7" w:rsidRDefault="007E1BF0" w:rsidP="00E97A0B">
            <w:pPr>
              <w:rPr>
                <w:rFonts w:asciiTheme="minorHAnsi" w:hAnsiTheme="minorHAnsi" w:cstheme="minorHAnsi"/>
                <w:sz w:val="18"/>
                <w:szCs w:val="18"/>
                <w:lang w:eastAsia="en-GB"/>
              </w:rPr>
            </w:pPr>
            <w:r w:rsidRPr="005206D7">
              <w:rPr>
                <w:rFonts w:asciiTheme="minorHAnsi" w:hAnsiTheme="minorHAnsi" w:cstheme="minorHAnsi"/>
                <w:sz w:val="18"/>
                <w:szCs w:val="18"/>
                <w:lang w:eastAsia="en-GB"/>
              </w:rPr>
              <w:t>Net Operating Profit After Tax</w:t>
            </w:r>
          </w:p>
        </w:tc>
        <w:tc>
          <w:tcPr>
            <w:tcW w:w="1315" w:type="dxa"/>
            <w:vAlign w:val="center"/>
          </w:tcPr>
          <w:p w14:paraId="33C18259" w14:textId="513622B7" w:rsidR="007E1BF0" w:rsidRPr="005206D7" w:rsidRDefault="007E1BF0" w:rsidP="00E97A0B">
            <w:pPr>
              <w:jc w:val="right"/>
              <w:rPr>
                <w:rFonts w:asciiTheme="minorHAnsi" w:hAnsiTheme="minorHAnsi" w:cstheme="minorHAnsi"/>
                <w:color w:val="000000" w:themeColor="text1"/>
                <w:sz w:val="18"/>
                <w:szCs w:val="18"/>
                <w:lang w:eastAsia="en-GB"/>
              </w:rPr>
            </w:pPr>
            <w:r w:rsidRPr="005206D7">
              <w:rPr>
                <w:rFonts w:asciiTheme="minorHAnsi" w:hAnsiTheme="minorHAnsi" w:cstheme="minorHAnsi"/>
                <w:color w:val="000000" w:themeColor="text1"/>
                <w:sz w:val="18"/>
                <w:szCs w:val="18"/>
                <w:lang w:eastAsia="en-GB"/>
              </w:rPr>
              <w:t>1,189,914</w:t>
            </w:r>
          </w:p>
        </w:tc>
        <w:tc>
          <w:tcPr>
            <w:tcW w:w="1315" w:type="dxa"/>
            <w:vAlign w:val="center"/>
          </w:tcPr>
          <w:p w14:paraId="56CAB204" w14:textId="297B2903" w:rsidR="007E1BF0" w:rsidRPr="005206D7" w:rsidRDefault="007E1BF0" w:rsidP="00E97A0B">
            <w:pPr>
              <w:jc w:val="right"/>
              <w:rPr>
                <w:rFonts w:asciiTheme="minorHAnsi" w:hAnsiTheme="minorHAnsi" w:cstheme="minorHAnsi"/>
                <w:color w:val="FF0000"/>
                <w:sz w:val="18"/>
                <w:szCs w:val="18"/>
                <w:lang w:eastAsia="en-GB"/>
              </w:rPr>
            </w:pPr>
            <w:r w:rsidRPr="005206D7">
              <w:rPr>
                <w:rFonts w:asciiTheme="minorHAnsi" w:hAnsiTheme="minorHAnsi" w:cstheme="minorHAnsi"/>
                <w:color w:val="000000" w:themeColor="text1"/>
                <w:sz w:val="18"/>
                <w:szCs w:val="18"/>
                <w:lang w:eastAsia="en-GB"/>
              </w:rPr>
              <w:t>1,144,747</w:t>
            </w:r>
          </w:p>
        </w:tc>
        <w:tc>
          <w:tcPr>
            <w:tcW w:w="1315" w:type="dxa"/>
            <w:vAlign w:val="center"/>
          </w:tcPr>
          <w:p w14:paraId="391C1DD1" w14:textId="4A149A44" w:rsidR="007E1BF0" w:rsidRPr="005206D7" w:rsidRDefault="007E1BF0" w:rsidP="00E97A0B">
            <w:pPr>
              <w:jc w:val="right"/>
              <w:rPr>
                <w:rFonts w:asciiTheme="minorHAnsi" w:hAnsiTheme="minorHAnsi" w:cstheme="minorHAnsi"/>
                <w:color w:val="FF0000"/>
                <w:sz w:val="18"/>
                <w:szCs w:val="18"/>
                <w:lang w:eastAsia="en-GB"/>
              </w:rPr>
            </w:pPr>
            <w:r w:rsidRPr="005206D7">
              <w:rPr>
                <w:rFonts w:asciiTheme="minorHAnsi" w:hAnsiTheme="minorHAnsi" w:cstheme="minorHAnsi"/>
                <w:color w:val="000000" w:themeColor="text1"/>
                <w:sz w:val="18"/>
                <w:szCs w:val="18"/>
                <w:lang w:eastAsia="en-GB"/>
              </w:rPr>
              <w:t>911,076</w:t>
            </w:r>
          </w:p>
        </w:tc>
        <w:tc>
          <w:tcPr>
            <w:tcW w:w="1315" w:type="dxa"/>
            <w:vAlign w:val="center"/>
          </w:tcPr>
          <w:p w14:paraId="191C35B1" w14:textId="1FF31B23" w:rsidR="007E1BF0" w:rsidRPr="005206D7" w:rsidRDefault="007E1BF0" w:rsidP="00E97A0B">
            <w:pPr>
              <w:jc w:val="right"/>
              <w:rPr>
                <w:rFonts w:asciiTheme="minorHAnsi" w:hAnsiTheme="minorHAnsi" w:cstheme="minorHAnsi"/>
                <w:color w:val="000000" w:themeColor="text1"/>
                <w:sz w:val="18"/>
                <w:szCs w:val="18"/>
                <w:lang w:eastAsia="en-GB"/>
              </w:rPr>
            </w:pPr>
            <w:r w:rsidRPr="005206D7">
              <w:rPr>
                <w:rFonts w:asciiTheme="minorHAnsi" w:hAnsiTheme="minorHAnsi" w:cs="Arial"/>
                <w:color w:val="000000"/>
                <w:sz w:val="18"/>
                <w:szCs w:val="18"/>
              </w:rPr>
              <w:t>985,694</w:t>
            </w:r>
          </w:p>
        </w:tc>
      </w:tr>
      <w:tr w:rsidR="007E1BF0" w:rsidRPr="001E16D5" w14:paraId="2ABBA192" w14:textId="77777777" w:rsidTr="00084C8B">
        <w:trPr>
          <w:trHeight w:val="360"/>
          <w:jc w:val="center"/>
        </w:trPr>
        <w:tc>
          <w:tcPr>
            <w:tcW w:w="2676" w:type="dxa"/>
            <w:shd w:val="clear" w:color="000000" w:fill="FFFFFF"/>
            <w:noWrap/>
            <w:vAlign w:val="center"/>
            <w:hideMark/>
          </w:tcPr>
          <w:p w14:paraId="15574984" w14:textId="5247B5E9" w:rsidR="007E1BF0" w:rsidRPr="00084C8B" w:rsidRDefault="007E1BF0" w:rsidP="00E97A0B">
            <w:pPr>
              <w:rPr>
                <w:rFonts w:asciiTheme="minorHAnsi" w:hAnsiTheme="minorHAnsi" w:cstheme="minorHAnsi"/>
                <w:sz w:val="18"/>
                <w:szCs w:val="18"/>
                <w:lang w:eastAsia="en-GB"/>
              </w:rPr>
            </w:pPr>
            <w:r w:rsidRPr="00084C8B">
              <w:rPr>
                <w:rFonts w:asciiTheme="minorHAnsi" w:hAnsiTheme="minorHAnsi" w:cstheme="minorHAnsi"/>
                <w:sz w:val="18"/>
                <w:szCs w:val="18"/>
                <w:lang w:eastAsia="en-GB"/>
              </w:rPr>
              <w:t>Dividends to Govt</w:t>
            </w:r>
          </w:p>
        </w:tc>
        <w:tc>
          <w:tcPr>
            <w:tcW w:w="1315" w:type="dxa"/>
            <w:vAlign w:val="center"/>
          </w:tcPr>
          <w:p w14:paraId="5069FC27" w14:textId="5B5EF92A"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 xml:space="preserve">340,746 </w:t>
            </w:r>
          </w:p>
        </w:tc>
        <w:tc>
          <w:tcPr>
            <w:tcW w:w="1315" w:type="dxa"/>
            <w:vAlign w:val="center"/>
          </w:tcPr>
          <w:p w14:paraId="50ABFBC8" w14:textId="785E8F0C"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 xml:space="preserve">182,203 </w:t>
            </w:r>
          </w:p>
        </w:tc>
        <w:tc>
          <w:tcPr>
            <w:tcW w:w="1315" w:type="dxa"/>
            <w:vAlign w:val="center"/>
          </w:tcPr>
          <w:p w14:paraId="70E715A6" w14:textId="11CF8CFD"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 xml:space="preserve">249,973 </w:t>
            </w:r>
          </w:p>
        </w:tc>
        <w:tc>
          <w:tcPr>
            <w:tcW w:w="1315" w:type="dxa"/>
            <w:vAlign w:val="center"/>
          </w:tcPr>
          <w:p w14:paraId="6420882E" w14:textId="4C64D2B9"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Arial"/>
                <w:color w:val="000000"/>
                <w:sz w:val="18"/>
                <w:szCs w:val="18"/>
              </w:rPr>
              <w:t>1,420</w:t>
            </w:r>
          </w:p>
        </w:tc>
      </w:tr>
      <w:tr w:rsidR="007E1BF0" w:rsidRPr="001E16D5" w14:paraId="1C422E03" w14:textId="77777777" w:rsidTr="00084C8B">
        <w:trPr>
          <w:trHeight w:val="360"/>
          <w:jc w:val="center"/>
        </w:trPr>
        <w:tc>
          <w:tcPr>
            <w:tcW w:w="2676" w:type="dxa"/>
            <w:shd w:val="clear" w:color="000000" w:fill="FFFFFF"/>
            <w:noWrap/>
            <w:vAlign w:val="center"/>
            <w:hideMark/>
          </w:tcPr>
          <w:p w14:paraId="7B323867" w14:textId="77777777" w:rsidR="007E1BF0" w:rsidRPr="00084C8B" w:rsidRDefault="007E1BF0" w:rsidP="00E97A0B">
            <w:pPr>
              <w:rPr>
                <w:rFonts w:asciiTheme="minorHAnsi" w:hAnsiTheme="minorHAnsi" w:cstheme="minorHAnsi"/>
                <w:sz w:val="18"/>
                <w:szCs w:val="18"/>
                <w:lang w:eastAsia="en-GB"/>
              </w:rPr>
            </w:pPr>
            <w:r w:rsidRPr="00084C8B">
              <w:rPr>
                <w:rFonts w:asciiTheme="minorHAnsi" w:hAnsiTheme="minorHAnsi" w:cstheme="minorHAnsi"/>
                <w:sz w:val="18"/>
                <w:szCs w:val="18"/>
                <w:lang w:eastAsia="en-GB"/>
              </w:rPr>
              <w:t>Total Assets</w:t>
            </w:r>
          </w:p>
        </w:tc>
        <w:tc>
          <w:tcPr>
            <w:tcW w:w="1315" w:type="dxa"/>
            <w:vAlign w:val="center"/>
          </w:tcPr>
          <w:p w14:paraId="1F16326D" w14:textId="2ED68B03"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12,598,934</w:t>
            </w:r>
          </w:p>
        </w:tc>
        <w:tc>
          <w:tcPr>
            <w:tcW w:w="1315" w:type="dxa"/>
            <w:vAlign w:val="center"/>
          </w:tcPr>
          <w:p w14:paraId="50AAB124" w14:textId="6B24C0D7"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14,308,298</w:t>
            </w:r>
          </w:p>
        </w:tc>
        <w:tc>
          <w:tcPr>
            <w:tcW w:w="1315" w:type="dxa"/>
            <w:vAlign w:val="center"/>
          </w:tcPr>
          <w:p w14:paraId="3F5A974E" w14:textId="7C80428C"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13,045,179</w:t>
            </w:r>
          </w:p>
        </w:tc>
        <w:tc>
          <w:tcPr>
            <w:tcW w:w="1315" w:type="dxa"/>
            <w:vAlign w:val="center"/>
          </w:tcPr>
          <w:p w14:paraId="7EFB0143" w14:textId="52F4E836"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Arial"/>
                <w:color w:val="000000"/>
                <w:sz w:val="18"/>
                <w:szCs w:val="18"/>
              </w:rPr>
              <w:t>14,734,049</w:t>
            </w:r>
          </w:p>
        </w:tc>
      </w:tr>
      <w:tr w:rsidR="007E1BF0" w:rsidRPr="001E16D5" w14:paraId="714296AE" w14:textId="77777777" w:rsidTr="00084C8B">
        <w:trPr>
          <w:trHeight w:val="360"/>
          <w:jc w:val="center"/>
        </w:trPr>
        <w:tc>
          <w:tcPr>
            <w:tcW w:w="2676" w:type="dxa"/>
            <w:shd w:val="clear" w:color="000000" w:fill="FFFFFF"/>
            <w:noWrap/>
            <w:vAlign w:val="center"/>
            <w:hideMark/>
          </w:tcPr>
          <w:p w14:paraId="31EBF6A4" w14:textId="77777777" w:rsidR="007E1BF0" w:rsidRPr="00084C8B" w:rsidRDefault="007E1BF0" w:rsidP="00E97A0B">
            <w:pPr>
              <w:rPr>
                <w:rFonts w:asciiTheme="minorHAnsi" w:hAnsiTheme="minorHAnsi" w:cstheme="minorHAnsi"/>
                <w:sz w:val="18"/>
                <w:szCs w:val="18"/>
                <w:lang w:eastAsia="en-GB"/>
              </w:rPr>
            </w:pPr>
            <w:r w:rsidRPr="00084C8B">
              <w:rPr>
                <w:rFonts w:asciiTheme="minorHAnsi" w:hAnsiTheme="minorHAnsi" w:cstheme="minorHAnsi"/>
                <w:sz w:val="18"/>
                <w:szCs w:val="18"/>
                <w:lang w:eastAsia="en-GB"/>
              </w:rPr>
              <w:t>Total Liabilities</w:t>
            </w:r>
          </w:p>
        </w:tc>
        <w:tc>
          <w:tcPr>
            <w:tcW w:w="1315" w:type="dxa"/>
            <w:vAlign w:val="center"/>
          </w:tcPr>
          <w:p w14:paraId="5D9C8DD2" w14:textId="484CBCE5"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 xml:space="preserve">11,046,163 </w:t>
            </w:r>
          </w:p>
        </w:tc>
        <w:tc>
          <w:tcPr>
            <w:tcW w:w="1315" w:type="dxa"/>
            <w:vAlign w:val="center"/>
          </w:tcPr>
          <w:p w14:paraId="4461CB58" w14:textId="7F1F56CD"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 xml:space="preserve">11,644,918 </w:t>
            </w:r>
          </w:p>
        </w:tc>
        <w:tc>
          <w:tcPr>
            <w:tcW w:w="1315" w:type="dxa"/>
            <w:vAlign w:val="center"/>
          </w:tcPr>
          <w:p w14:paraId="76C2B9AB" w14:textId="77C20733"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10,468,289</w:t>
            </w:r>
          </w:p>
        </w:tc>
        <w:tc>
          <w:tcPr>
            <w:tcW w:w="1315" w:type="dxa"/>
            <w:vAlign w:val="center"/>
          </w:tcPr>
          <w:p w14:paraId="20964831" w14:textId="187D33C4"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Arial"/>
                <w:color w:val="000000"/>
                <w:sz w:val="18"/>
                <w:szCs w:val="18"/>
              </w:rPr>
              <w:t>11,269,480</w:t>
            </w:r>
          </w:p>
        </w:tc>
      </w:tr>
      <w:tr w:rsidR="007E1BF0" w:rsidRPr="001E16D5" w14:paraId="60CBC93C" w14:textId="77777777" w:rsidTr="00084C8B">
        <w:trPr>
          <w:trHeight w:val="360"/>
          <w:jc w:val="center"/>
        </w:trPr>
        <w:tc>
          <w:tcPr>
            <w:tcW w:w="2676" w:type="dxa"/>
            <w:shd w:val="clear" w:color="000000" w:fill="FFFFFF"/>
            <w:noWrap/>
            <w:vAlign w:val="center"/>
            <w:hideMark/>
          </w:tcPr>
          <w:p w14:paraId="229B9829" w14:textId="77777777" w:rsidR="007E1BF0" w:rsidRPr="00084C8B" w:rsidRDefault="007E1BF0" w:rsidP="00E97A0B">
            <w:pPr>
              <w:rPr>
                <w:rFonts w:asciiTheme="minorHAnsi" w:hAnsiTheme="minorHAnsi" w:cstheme="minorHAnsi"/>
                <w:sz w:val="18"/>
                <w:szCs w:val="18"/>
                <w:lang w:eastAsia="en-GB"/>
              </w:rPr>
            </w:pPr>
            <w:r w:rsidRPr="00084C8B">
              <w:rPr>
                <w:rFonts w:asciiTheme="minorHAnsi" w:hAnsiTheme="minorHAnsi" w:cstheme="minorHAnsi"/>
                <w:sz w:val="18"/>
                <w:szCs w:val="18"/>
                <w:lang w:eastAsia="en-GB"/>
              </w:rPr>
              <w:t>Shareholders' Funds</w:t>
            </w:r>
          </w:p>
        </w:tc>
        <w:tc>
          <w:tcPr>
            <w:tcW w:w="1315" w:type="dxa"/>
            <w:vAlign w:val="center"/>
          </w:tcPr>
          <w:p w14:paraId="5A6028DA" w14:textId="5F5CDDDF"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1,552,771</w:t>
            </w:r>
          </w:p>
        </w:tc>
        <w:tc>
          <w:tcPr>
            <w:tcW w:w="1315" w:type="dxa"/>
            <w:vAlign w:val="center"/>
          </w:tcPr>
          <w:p w14:paraId="4629159D" w14:textId="6FB077F0" w:rsidR="007E1BF0" w:rsidRPr="00084C8B" w:rsidRDefault="007E1BF0" w:rsidP="00E97A0B">
            <w:pPr>
              <w:jc w:val="right"/>
              <w:rPr>
                <w:rFonts w:asciiTheme="minorHAnsi" w:hAnsiTheme="minorHAnsi" w:cstheme="minorHAnsi"/>
                <w:color w:val="FF0000"/>
                <w:sz w:val="18"/>
                <w:szCs w:val="18"/>
                <w:lang w:eastAsia="en-GB"/>
              </w:rPr>
            </w:pPr>
            <w:r w:rsidRPr="00084C8B">
              <w:rPr>
                <w:rFonts w:asciiTheme="minorHAnsi" w:hAnsiTheme="minorHAnsi" w:cstheme="minorHAnsi"/>
                <w:color w:val="000000" w:themeColor="text1"/>
                <w:sz w:val="18"/>
                <w:szCs w:val="18"/>
                <w:lang w:eastAsia="en-GB"/>
              </w:rPr>
              <w:t>2,663,380</w:t>
            </w:r>
          </w:p>
        </w:tc>
        <w:tc>
          <w:tcPr>
            <w:tcW w:w="1315" w:type="dxa"/>
            <w:vAlign w:val="center"/>
          </w:tcPr>
          <w:p w14:paraId="312F1522" w14:textId="692DD6B5" w:rsidR="007E1BF0" w:rsidRPr="00084C8B" w:rsidRDefault="007E1BF0" w:rsidP="00E97A0B">
            <w:pPr>
              <w:jc w:val="right"/>
              <w:rPr>
                <w:rFonts w:asciiTheme="minorHAnsi" w:hAnsiTheme="minorHAnsi" w:cstheme="minorHAnsi"/>
                <w:color w:val="FF0000"/>
                <w:sz w:val="18"/>
                <w:szCs w:val="18"/>
                <w:lang w:eastAsia="en-GB"/>
              </w:rPr>
            </w:pPr>
            <w:r w:rsidRPr="00084C8B">
              <w:rPr>
                <w:rFonts w:asciiTheme="minorHAnsi" w:hAnsiTheme="minorHAnsi" w:cstheme="minorHAnsi"/>
                <w:color w:val="000000" w:themeColor="text1"/>
                <w:sz w:val="18"/>
                <w:szCs w:val="18"/>
                <w:lang w:eastAsia="en-GB"/>
              </w:rPr>
              <w:t>2,576,890</w:t>
            </w:r>
          </w:p>
        </w:tc>
        <w:tc>
          <w:tcPr>
            <w:tcW w:w="1315" w:type="dxa"/>
            <w:vAlign w:val="center"/>
          </w:tcPr>
          <w:p w14:paraId="2FE81145" w14:textId="16379902"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Arial"/>
                <w:color w:val="000000"/>
                <w:sz w:val="18"/>
                <w:szCs w:val="18"/>
              </w:rPr>
              <w:t>3,473,569</w:t>
            </w:r>
          </w:p>
        </w:tc>
      </w:tr>
      <w:tr w:rsidR="007E1BF0" w:rsidRPr="001E16D5" w14:paraId="6DA1058A" w14:textId="77777777" w:rsidTr="00084C8B">
        <w:trPr>
          <w:trHeight w:val="360"/>
          <w:jc w:val="center"/>
        </w:trPr>
        <w:tc>
          <w:tcPr>
            <w:tcW w:w="2676" w:type="dxa"/>
            <w:shd w:val="clear" w:color="000000" w:fill="FFFFFF"/>
            <w:noWrap/>
            <w:vAlign w:val="center"/>
          </w:tcPr>
          <w:p w14:paraId="04F3EC26" w14:textId="77777777" w:rsidR="007E1BF0" w:rsidRPr="00084C8B" w:rsidRDefault="007E1BF0" w:rsidP="00E97A0B">
            <w:pPr>
              <w:rPr>
                <w:rFonts w:asciiTheme="minorHAnsi" w:hAnsiTheme="minorHAnsi" w:cstheme="minorHAnsi"/>
                <w:sz w:val="18"/>
                <w:szCs w:val="18"/>
                <w:lang w:eastAsia="en-GB"/>
              </w:rPr>
            </w:pPr>
            <w:r w:rsidRPr="00084C8B">
              <w:rPr>
                <w:rFonts w:asciiTheme="minorHAnsi" w:hAnsiTheme="minorHAnsi" w:cstheme="minorHAnsi"/>
                <w:sz w:val="18"/>
                <w:szCs w:val="18"/>
                <w:lang w:eastAsia="en-GB"/>
              </w:rPr>
              <w:t>EBITDA %</w:t>
            </w:r>
          </w:p>
        </w:tc>
        <w:tc>
          <w:tcPr>
            <w:tcW w:w="1315" w:type="dxa"/>
            <w:vAlign w:val="center"/>
          </w:tcPr>
          <w:p w14:paraId="0731C5E3" w14:textId="59D2200A"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38%</w:t>
            </w:r>
          </w:p>
        </w:tc>
        <w:tc>
          <w:tcPr>
            <w:tcW w:w="1315" w:type="dxa"/>
            <w:vAlign w:val="center"/>
          </w:tcPr>
          <w:p w14:paraId="1CB7301E" w14:textId="33BAA75A"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40%</w:t>
            </w:r>
          </w:p>
        </w:tc>
        <w:tc>
          <w:tcPr>
            <w:tcW w:w="1315" w:type="dxa"/>
            <w:vAlign w:val="center"/>
          </w:tcPr>
          <w:p w14:paraId="3ABDBF39" w14:textId="5EDEC6FE"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38%</w:t>
            </w:r>
          </w:p>
        </w:tc>
        <w:tc>
          <w:tcPr>
            <w:tcW w:w="1315" w:type="dxa"/>
            <w:vAlign w:val="center"/>
          </w:tcPr>
          <w:p w14:paraId="051F57B7" w14:textId="6DF59B0B"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Arial"/>
                <w:color w:val="000000"/>
                <w:sz w:val="18"/>
                <w:szCs w:val="18"/>
              </w:rPr>
              <w:t>46%</w:t>
            </w:r>
          </w:p>
        </w:tc>
      </w:tr>
      <w:tr w:rsidR="007E1BF0" w:rsidRPr="001E16D5" w14:paraId="04D10075" w14:textId="77777777" w:rsidTr="00084C8B">
        <w:trPr>
          <w:trHeight w:val="360"/>
          <w:jc w:val="center"/>
        </w:trPr>
        <w:tc>
          <w:tcPr>
            <w:tcW w:w="2676" w:type="dxa"/>
            <w:shd w:val="clear" w:color="000000" w:fill="FFFFFF"/>
            <w:noWrap/>
            <w:vAlign w:val="center"/>
          </w:tcPr>
          <w:p w14:paraId="555E6423" w14:textId="77777777" w:rsidR="007E1BF0" w:rsidRPr="00084C8B" w:rsidRDefault="007E1BF0" w:rsidP="00E97A0B">
            <w:pPr>
              <w:rPr>
                <w:rFonts w:asciiTheme="minorHAnsi" w:hAnsiTheme="minorHAnsi" w:cstheme="minorHAnsi"/>
                <w:sz w:val="18"/>
                <w:szCs w:val="18"/>
                <w:lang w:eastAsia="en-GB"/>
              </w:rPr>
            </w:pPr>
            <w:r w:rsidRPr="00084C8B">
              <w:rPr>
                <w:rFonts w:asciiTheme="minorHAnsi" w:hAnsiTheme="minorHAnsi" w:cstheme="minorHAnsi"/>
                <w:sz w:val="18"/>
                <w:szCs w:val="18"/>
                <w:lang w:eastAsia="en-GB"/>
              </w:rPr>
              <w:t>NOPAT %</w:t>
            </w:r>
          </w:p>
        </w:tc>
        <w:tc>
          <w:tcPr>
            <w:tcW w:w="1315" w:type="dxa"/>
            <w:vAlign w:val="center"/>
          </w:tcPr>
          <w:p w14:paraId="478AD1BC" w14:textId="2BEAEE3F"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18.8%</w:t>
            </w:r>
          </w:p>
        </w:tc>
        <w:tc>
          <w:tcPr>
            <w:tcW w:w="1315" w:type="dxa"/>
            <w:vAlign w:val="center"/>
          </w:tcPr>
          <w:p w14:paraId="213466DD" w14:textId="0E36FB1B"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17.7%</w:t>
            </w:r>
          </w:p>
        </w:tc>
        <w:tc>
          <w:tcPr>
            <w:tcW w:w="1315" w:type="dxa"/>
            <w:vAlign w:val="center"/>
          </w:tcPr>
          <w:p w14:paraId="725ADF15" w14:textId="37FE28B5"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14.5%</w:t>
            </w:r>
          </w:p>
        </w:tc>
        <w:tc>
          <w:tcPr>
            <w:tcW w:w="1315" w:type="dxa"/>
            <w:vAlign w:val="center"/>
          </w:tcPr>
          <w:p w14:paraId="7F129C39" w14:textId="0249F37B"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Arial"/>
                <w:color w:val="000000"/>
                <w:sz w:val="18"/>
                <w:szCs w:val="18"/>
              </w:rPr>
              <w:t>17.10%</w:t>
            </w:r>
          </w:p>
        </w:tc>
      </w:tr>
      <w:tr w:rsidR="007E1BF0" w:rsidRPr="001E16D5" w14:paraId="5C4FDB89" w14:textId="77777777" w:rsidTr="00084C8B">
        <w:trPr>
          <w:trHeight w:val="360"/>
          <w:jc w:val="center"/>
        </w:trPr>
        <w:tc>
          <w:tcPr>
            <w:tcW w:w="2676" w:type="dxa"/>
            <w:shd w:val="clear" w:color="000000" w:fill="FFFFFF"/>
            <w:noWrap/>
            <w:vAlign w:val="center"/>
            <w:hideMark/>
          </w:tcPr>
          <w:p w14:paraId="610B4977" w14:textId="77777777" w:rsidR="007E1BF0" w:rsidRPr="00084C8B" w:rsidRDefault="007E1BF0" w:rsidP="00E97A0B">
            <w:pPr>
              <w:rPr>
                <w:rFonts w:asciiTheme="minorHAnsi" w:hAnsiTheme="minorHAnsi" w:cstheme="minorHAnsi"/>
                <w:sz w:val="18"/>
                <w:szCs w:val="18"/>
                <w:lang w:eastAsia="en-GB"/>
              </w:rPr>
            </w:pPr>
            <w:r w:rsidRPr="00084C8B">
              <w:rPr>
                <w:rFonts w:asciiTheme="minorHAnsi" w:hAnsiTheme="minorHAnsi" w:cstheme="minorHAnsi"/>
                <w:sz w:val="18"/>
                <w:szCs w:val="18"/>
                <w:lang w:eastAsia="en-GB"/>
              </w:rPr>
              <w:t>ROE %</w:t>
            </w:r>
          </w:p>
        </w:tc>
        <w:tc>
          <w:tcPr>
            <w:tcW w:w="1315" w:type="dxa"/>
            <w:vAlign w:val="center"/>
          </w:tcPr>
          <w:p w14:paraId="2736B6BE" w14:textId="0BA1459A"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 xml:space="preserve">76.6% </w:t>
            </w:r>
          </w:p>
        </w:tc>
        <w:tc>
          <w:tcPr>
            <w:tcW w:w="1315" w:type="dxa"/>
            <w:vAlign w:val="center"/>
          </w:tcPr>
          <w:p w14:paraId="090E4695" w14:textId="76E1D89C"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43.0%</w:t>
            </w:r>
          </w:p>
        </w:tc>
        <w:tc>
          <w:tcPr>
            <w:tcW w:w="1315" w:type="dxa"/>
            <w:vAlign w:val="center"/>
          </w:tcPr>
          <w:p w14:paraId="03B66845" w14:textId="32CC7C22"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35.4%</w:t>
            </w:r>
          </w:p>
        </w:tc>
        <w:tc>
          <w:tcPr>
            <w:tcW w:w="1315" w:type="dxa"/>
            <w:vAlign w:val="center"/>
          </w:tcPr>
          <w:p w14:paraId="0CDF8808" w14:textId="6A0E5A2C"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Arial"/>
                <w:color w:val="000000"/>
                <w:sz w:val="18"/>
                <w:szCs w:val="18"/>
              </w:rPr>
              <w:t>28.40%</w:t>
            </w:r>
          </w:p>
        </w:tc>
      </w:tr>
      <w:tr w:rsidR="007E1BF0" w:rsidRPr="001E16D5" w14:paraId="2A1E9CBD" w14:textId="77777777" w:rsidTr="00084C8B">
        <w:trPr>
          <w:trHeight w:val="360"/>
          <w:jc w:val="center"/>
        </w:trPr>
        <w:tc>
          <w:tcPr>
            <w:tcW w:w="2676" w:type="dxa"/>
            <w:shd w:val="clear" w:color="000000" w:fill="FFFFFF"/>
            <w:noWrap/>
            <w:vAlign w:val="center"/>
            <w:hideMark/>
          </w:tcPr>
          <w:p w14:paraId="7EA5EF8E" w14:textId="77777777" w:rsidR="007E1BF0" w:rsidRPr="00084C8B" w:rsidRDefault="007E1BF0" w:rsidP="00E97A0B">
            <w:pPr>
              <w:rPr>
                <w:rFonts w:asciiTheme="minorHAnsi" w:hAnsiTheme="minorHAnsi" w:cstheme="minorHAnsi"/>
                <w:sz w:val="18"/>
                <w:szCs w:val="18"/>
                <w:lang w:eastAsia="en-GB"/>
              </w:rPr>
            </w:pPr>
            <w:r w:rsidRPr="00084C8B">
              <w:rPr>
                <w:rFonts w:asciiTheme="minorHAnsi" w:hAnsiTheme="minorHAnsi" w:cstheme="minorHAnsi"/>
                <w:sz w:val="18"/>
                <w:szCs w:val="18"/>
                <w:lang w:eastAsia="en-GB"/>
              </w:rPr>
              <w:t>ROA %</w:t>
            </w:r>
          </w:p>
        </w:tc>
        <w:tc>
          <w:tcPr>
            <w:tcW w:w="1315" w:type="dxa"/>
            <w:vAlign w:val="center"/>
          </w:tcPr>
          <w:p w14:paraId="1087E44D" w14:textId="7783F3BD"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 xml:space="preserve">9.4% </w:t>
            </w:r>
          </w:p>
        </w:tc>
        <w:tc>
          <w:tcPr>
            <w:tcW w:w="1315" w:type="dxa"/>
            <w:vAlign w:val="center"/>
          </w:tcPr>
          <w:p w14:paraId="3EE42428" w14:textId="2776CAB3" w:rsidR="007E1BF0" w:rsidRPr="00084C8B" w:rsidRDefault="007E1BF0" w:rsidP="00E97A0B">
            <w:pPr>
              <w:jc w:val="right"/>
              <w:rPr>
                <w:rFonts w:asciiTheme="minorHAnsi" w:hAnsiTheme="minorHAnsi" w:cstheme="minorHAnsi"/>
                <w:color w:val="FF0000"/>
                <w:sz w:val="18"/>
                <w:szCs w:val="18"/>
                <w:lang w:eastAsia="en-GB"/>
              </w:rPr>
            </w:pPr>
            <w:r w:rsidRPr="00084C8B">
              <w:rPr>
                <w:rFonts w:asciiTheme="minorHAnsi" w:hAnsiTheme="minorHAnsi" w:cstheme="minorHAnsi"/>
                <w:color w:val="000000" w:themeColor="text1"/>
                <w:sz w:val="18"/>
                <w:szCs w:val="18"/>
                <w:lang w:eastAsia="en-GB"/>
              </w:rPr>
              <w:t>8.0%</w:t>
            </w:r>
          </w:p>
        </w:tc>
        <w:tc>
          <w:tcPr>
            <w:tcW w:w="1315" w:type="dxa"/>
            <w:vAlign w:val="center"/>
          </w:tcPr>
          <w:p w14:paraId="514BD8E3" w14:textId="3D811A9F" w:rsidR="007E1BF0" w:rsidRPr="00084C8B" w:rsidRDefault="007E1BF0" w:rsidP="00E97A0B">
            <w:pPr>
              <w:jc w:val="right"/>
              <w:rPr>
                <w:rFonts w:asciiTheme="minorHAnsi" w:hAnsiTheme="minorHAnsi" w:cstheme="minorHAnsi"/>
                <w:color w:val="FF0000"/>
                <w:sz w:val="18"/>
                <w:szCs w:val="18"/>
                <w:lang w:eastAsia="en-GB"/>
              </w:rPr>
            </w:pPr>
            <w:r w:rsidRPr="00084C8B">
              <w:rPr>
                <w:rFonts w:asciiTheme="minorHAnsi" w:hAnsiTheme="minorHAnsi" w:cstheme="minorHAnsi"/>
                <w:color w:val="000000" w:themeColor="text1"/>
                <w:sz w:val="18"/>
                <w:szCs w:val="18"/>
                <w:lang w:eastAsia="en-GB"/>
              </w:rPr>
              <w:t>7.0%</w:t>
            </w:r>
          </w:p>
        </w:tc>
        <w:tc>
          <w:tcPr>
            <w:tcW w:w="1315" w:type="dxa"/>
            <w:vAlign w:val="center"/>
          </w:tcPr>
          <w:p w14:paraId="19BA3CD6" w14:textId="43A6356F"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Arial"/>
                <w:color w:val="000000"/>
                <w:sz w:val="18"/>
                <w:szCs w:val="18"/>
              </w:rPr>
              <w:t>6.70%</w:t>
            </w:r>
          </w:p>
        </w:tc>
      </w:tr>
      <w:tr w:rsidR="007E1BF0" w:rsidRPr="001E16D5" w14:paraId="263B1BDD" w14:textId="77777777" w:rsidTr="00084C8B">
        <w:trPr>
          <w:trHeight w:val="360"/>
          <w:jc w:val="center"/>
        </w:trPr>
        <w:tc>
          <w:tcPr>
            <w:tcW w:w="2676" w:type="dxa"/>
            <w:shd w:val="clear" w:color="000000" w:fill="FFFFFF"/>
            <w:noWrap/>
            <w:vAlign w:val="center"/>
          </w:tcPr>
          <w:p w14:paraId="736FC551" w14:textId="77777777" w:rsidR="007E1BF0" w:rsidRPr="00084C8B" w:rsidRDefault="007E1BF0" w:rsidP="00E97A0B">
            <w:pPr>
              <w:rPr>
                <w:rFonts w:asciiTheme="minorHAnsi" w:hAnsiTheme="minorHAnsi" w:cstheme="minorHAnsi"/>
                <w:sz w:val="18"/>
                <w:szCs w:val="18"/>
                <w:lang w:eastAsia="en-GB"/>
              </w:rPr>
            </w:pPr>
            <w:r w:rsidRPr="00084C8B">
              <w:rPr>
                <w:rFonts w:asciiTheme="minorHAnsi" w:hAnsiTheme="minorHAnsi" w:cstheme="minorHAnsi"/>
                <w:sz w:val="18"/>
                <w:szCs w:val="18"/>
                <w:lang w:eastAsia="en-GB"/>
              </w:rPr>
              <w:t>Current Assets / Current liabilities</w:t>
            </w:r>
          </w:p>
        </w:tc>
        <w:tc>
          <w:tcPr>
            <w:tcW w:w="1315" w:type="dxa"/>
            <w:vAlign w:val="center"/>
          </w:tcPr>
          <w:p w14:paraId="7702EECF" w14:textId="355E8AD9"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 xml:space="preserve">1.07 </w:t>
            </w:r>
          </w:p>
        </w:tc>
        <w:tc>
          <w:tcPr>
            <w:tcW w:w="1315" w:type="dxa"/>
            <w:vAlign w:val="center"/>
          </w:tcPr>
          <w:p w14:paraId="21F19948" w14:textId="17035BDB"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1.23</w:t>
            </w:r>
          </w:p>
        </w:tc>
        <w:tc>
          <w:tcPr>
            <w:tcW w:w="1315" w:type="dxa"/>
            <w:vAlign w:val="center"/>
          </w:tcPr>
          <w:p w14:paraId="4C922583" w14:textId="4213767B"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1.23</w:t>
            </w:r>
          </w:p>
        </w:tc>
        <w:tc>
          <w:tcPr>
            <w:tcW w:w="1315" w:type="dxa"/>
            <w:vAlign w:val="center"/>
          </w:tcPr>
          <w:p w14:paraId="189CBAAB" w14:textId="5A5CBFEF"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Arial"/>
                <w:color w:val="000000"/>
                <w:sz w:val="18"/>
                <w:szCs w:val="18"/>
              </w:rPr>
              <w:t>1.3</w:t>
            </w:r>
          </w:p>
        </w:tc>
      </w:tr>
      <w:tr w:rsidR="007E1BF0" w:rsidRPr="001E16D5" w14:paraId="7154E594" w14:textId="77777777" w:rsidTr="00084C8B">
        <w:trPr>
          <w:trHeight w:val="360"/>
          <w:jc w:val="center"/>
        </w:trPr>
        <w:tc>
          <w:tcPr>
            <w:tcW w:w="2676" w:type="dxa"/>
            <w:shd w:val="clear" w:color="000000" w:fill="FFFFFF"/>
            <w:noWrap/>
            <w:vAlign w:val="center"/>
          </w:tcPr>
          <w:p w14:paraId="44A8B3F1" w14:textId="77777777" w:rsidR="007E1BF0" w:rsidRPr="00084C8B" w:rsidRDefault="007E1BF0" w:rsidP="00E97A0B">
            <w:pPr>
              <w:rPr>
                <w:rFonts w:asciiTheme="minorHAnsi" w:hAnsiTheme="minorHAnsi" w:cstheme="minorHAnsi"/>
                <w:sz w:val="18"/>
                <w:szCs w:val="18"/>
                <w:lang w:eastAsia="en-GB"/>
              </w:rPr>
            </w:pPr>
            <w:r w:rsidRPr="00084C8B">
              <w:rPr>
                <w:rFonts w:asciiTheme="minorHAnsi" w:hAnsiTheme="minorHAnsi" w:cstheme="minorHAnsi"/>
                <w:sz w:val="18"/>
                <w:szCs w:val="18"/>
                <w:lang w:eastAsia="en-GB"/>
              </w:rPr>
              <w:t>Quick Ratio</w:t>
            </w:r>
          </w:p>
        </w:tc>
        <w:tc>
          <w:tcPr>
            <w:tcW w:w="1315" w:type="dxa"/>
            <w:vAlign w:val="center"/>
          </w:tcPr>
          <w:p w14:paraId="2BF29D2C" w14:textId="18D59037"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0.20</w:t>
            </w:r>
          </w:p>
        </w:tc>
        <w:tc>
          <w:tcPr>
            <w:tcW w:w="1315" w:type="dxa"/>
            <w:vAlign w:val="center"/>
          </w:tcPr>
          <w:p w14:paraId="170C0968" w14:textId="71F4AA25"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0.23</w:t>
            </w:r>
          </w:p>
        </w:tc>
        <w:tc>
          <w:tcPr>
            <w:tcW w:w="1315" w:type="dxa"/>
            <w:vAlign w:val="center"/>
          </w:tcPr>
          <w:p w14:paraId="43D1A0FD" w14:textId="22140535"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0.19</w:t>
            </w:r>
          </w:p>
        </w:tc>
        <w:tc>
          <w:tcPr>
            <w:tcW w:w="1315" w:type="dxa"/>
            <w:vAlign w:val="center"/>
          </w:tcPr>
          <w:p w14:paraId="797990F4" w14:textId="333C2125"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Arial"/>
                <w:color w:val="000000"/>
                <w:sz w:val="18"/>
                <w:szCs w:val="18"/>
              </w:rPr>
              <w:t>0.19</w:t>
            </w:r>
          </w:p>
        </w:tc>
      </w:tr>
      <w:tr w:rsidR="007E1BF0" w:rsidRPr="001E16D5" w14:paraId="43848120" w14:textId="77777777" w:rsidTr="00084C8B">
        <w:trPr>
          <w:trHeight w:val="360"/>
          <w:jc w:val="center"/>
        </w:trPr>
        <w:tc>
          <w:tcPr>
            <w:tcW w:w="2676" w:type="dxa"/>
            <w:shd w:val="clear" w:color="000000" w:fill="FFFFFF"/>
            <w:noWrap/>
            <w:vAlign w:val="center"/>
          </w:tcPr>
          <w:p w14:paraId="60F852D4" w14:textId="77777777" w:rsidR="007E1BF0" w:rsidRPr="00084C8B" w:rsidRDefault="007E1BF0" w:rsidP="00E97A0B">
            <w:pPr>
              <w:rPr>
                <w:rFonts w:asciiTheme="minorHAnsi" w:hAnsiTheme="minorHAnsi" w:cstheme="minorHAnsi"/>
                <w:sz w:val="18"/>
                <w:szCs w:val="18"/>
                <w:lang w:eastAsia="en-GB"/>
              </w:rPr>
            </w:pPr>
            <w:r w:rsidRPr="00084C8B">
              <w:rPr>
                <w:rFonts w:asciiTheme="minorHAnsi" w:hAnsiTheme="minorHAnsi" w:cstheme="minorHAnsi"/>
                <w:sz w:val="18"/>
                <w:szCs w:val="18"/>
                <w:lang w:eastAsia="en-GB"/>
              </w:rPr>
              <w:t>Accounts Receivable Days</w:t>
            </w:r>
          </w:p>
        </w:tc>
        <w:tc>
          <w:tcPr>
            <w:tcW w:w="1315" w:type="dxa"/>
            <w:vAlign w:val="center"/>
          </w:tcPr>
          <w:p w14:paraId="13D67FF1" w14:textId="498B9E2A"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32</w:t>
            </w:r>
          </w:p>
        </w:tc>
        <w:tc>
          <w:tcPr>
            <w:tcW w:w="1315" w:type="dxa"/>
            <w:vAlign w:val="center"/>
          </w:tcPr>
          <w:p w14:paraId="318E76CB" w14:textId="12CAFB34"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32</w:t>
            </w:r>
          </w:p>
        </w:tc>
        <w:tc>
          <w:tcPr>
            <w:tcW w:w="1315" w:type="dxa"/>
            <w:vAlign w:val="center"/>
          </w:tcPr>
          <w:p w14:paraId="4170132D" w14:textId="5FB7CC41"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21</w:t>
            </w:r>
          </w:p>
        </w:tc>
        <w:tc>
          <w:tcPr>
            <w:tcW w:w="1315" w:type="dxa"/>
            <w:vAlign w:val="center"/>
          </w:tcPr>
          <w:p w14:paraId="674510BB" w14:textId="24D062CF"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Arial"/>
                <w:color w:val="000000"/>
                <w:sz w:val="18"/>
                <w:szCs w:val="18"/>
              </w:rPr>
              <w:t>11</w:t>
            </w:r>
          </w:p>
        </w:tc>
      </w:tr>
      <w:tr w:rsidR="007E1BF0" w:rsidRPr="001E16D5" w14:paraId="27EAD8CE" w14:textId="77777777" w:rsidTr="00084C8B">
        <w:trPr>
          <w:trHeight w:val="360"/>
          <w:jc w:val="center"/>
        </w:trPr>
        <w:tc>
          <w:tcPr>
            <w:tcW w:w="2676" w:type="dxa"/>
            <w:shd w:val="clear" w:color="000000" w:fill="FFFFFF"/>
            <w:noWrap/>
            <w:vAlign w:val="center"/>
          </w:tcPr>
          <w:p w14:paraId="4D5A7859" w14:textId="77777777" w:rsidR="007E1BF0" w:rsidRPr="00084C8B" w:rsidRDefault="007E1BF0" w:rsidP="00E97A0B">
            <w:pPr>
              <w:rPr>
                <w:rFonts w:asciiTheme="minorHAnsi" w:hAnsiTheme="minorHAnsi" w:cstheme="minorHAnsi"/>
                <w:sz w:val="18"/>
                <w:szCs w:val="18"/>
                <w:lang w:eastAsia="en-GB"/>
              </w:rPr>
            </w:pPr>
            <w:r w:rsidRPr="00084C8B">
              <w:rPr>
                <w:rFonts w:asciiTheme="minorHAnsi" w:hAnsiTheme="minorHAnsi" w:cstheme="minorHAnsi"/>
                <w:sz w:val="18"/>
                <w:szCs w:val="18"/>
                <w:lang w:eastAsia="en-GB"/>
              </w:rPr>
              <w:t>Assets Turnover</w:t>
            </w:r>
          </w:p>
        </w:tc>
        <w:tc>
          <w:tcPr>
            <w:tcW w:w="1315" w:type="dxa"/>
            <w:vAlign w:val="center"/>
          </w:tcPr>
          <w:p w14:paraId="6E5DBB49" w14:textId="67041B5D"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0.51</w:t>
            </w:r>
          </w:p>
        </w:tc>
        <w:tc>
          <w:tcPr>
            <w:tcW w:w="1315" w:type="dxa"/>
            <w:vAlign w:val="center"/>
          </w:tcPr>
          <w:p w14:paraId="22C7D25D" w14:textId="02BA804B"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0.46</w:t>
            </w:r>
          </w:p>
        </w:tc>
        <w:tc>
          <w:tcPr>
            <w:tcW w:w="1315" w:type="dxa"/>
            <w:vAlign w:val="center"/>
          </w:tcPr>
          <w:p w14:paraId="66DE0011" w14:textId="54EAC092"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0.45</w:t>
            </w:r>
          </w:p>
        </w:tc>
        <w:tc>
          <w:tcPr>
            <w:tcW w:w="1315" w:type="dxa"/>
            <w:vAlign w:val="center"/>
          </w:tcPr>
          <w:p w14:paraId="0F9988E7" w14:textId="696B54EC"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Arial"/>
                <w:color w:val="000000"/>
                <w:sz w:val="18"/>
                <w:szCs w:val="18"/>
              </w:rPr>
              <w:t>0.41</w:t>
            </w:r>
          </w:p>
        </w:tc>
      </w:tr>
      <w:tr w:rsidR="007E1BF0" w:rsidRPr="001E16D5" w14:paraId="6849C1EB" w14:textId="77777777" w:rsidTr="00084C8B">
        <w:trPr>
          <w:trHeight w:val="360"/>
          <w:jc w:val="center"/>
        </w:trPr>
        <w:tc>
          <w:tcPr>
            <w:tcW w:w="2676" w:type="dxa"/>
            <w:shd w:val="clear" w:color="000000" w:fill="FFFFFF"/>
            <w:noWrap/>
            <w:vAlign w:val="center"/>
            <w:hideMark/>
          </w:tcPr>
          <w:p w14:paraId="778C2103" w14:textId="77777777" w:rsidR="007E1BF0" w:rsidRPr="00084C8B" w:rsidRDefault="007E1BF0" w:rsidP="00E97A0B">
            <w:pPr>
              <w:rPr>
                <w:rFonts w:asciiTheme="minorHAnsi" w:hAnsiTheme="minorHAnsi" w:cstheme="minorHAnsi"/>
                <w:sz w:val="18"/>
                <w:szCs w:val="18"/>
                <w:lang w:eastAsia="en-GB"/>
              </w:rPr>
            </w:pPr>
            <w:r w:rsidRPr="00084C8B">
              <w:rPr>
                <w:rFonts w:asciiTheme="minorHAnsi" w:hAnsiTheme="minorHAnsi" w:cstheme="minorHAnsi"/>
                <w:sz w:val="18"/>
                <w:szCs w:val="18"/>
                <w:lang w:eastAsia="en-GB"/>
              </w:rPr>
              <w:lastRenderedPageBreak/>
              <w:t>Debt / Equity Ratio</w:t>
            </w:r>
          </w:p>
        </w:tc>
        <w:tc>
          <w:tcPr>
            <w:tcW w:w="1315" w:type="dxa"/>
            <w:vAlign w:val="center"/>
          </w:tcPr>
          <w:p w14:paraId="5E24C4EB" w14:textId="763E586E"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theme="minorHAnsi"/>
                <w:color w:val="000000" w:themeColor="text1"/>
                <w:sz w:val="18"/>
                <w:szCs w:val="18"/>
                <w:lang w:eastAsia="en-GB"/>
              </w:rPr>
              <w:t xml:space="preserve">1.48 </w:t>
            </w:r>
          </w:p>
        </w:tc>
        <w:tc>
          <w:tcPr>
            <w:tcW w:w="1315" w:type="dxa"/>
            <w:vAlign w:val="center"/>
          </w:tcPr>
          <w:p w14:paraId="55DB698C" w14:textId="360F9CC7" w:rsidR="007E1BF0" w:rsidRPr="00084C8B" w:rsidRDefault="007E1BF0" w:rsidP="00E97A0B">
            <w:pPr>
              <w:jc w:val="right"/>
              <w:rPr>
                <w:rFonts w:asciiTheme="minorHAnsi" w:hAnsiTheme="minorHAnsi" w:cstheme="minorHAnsi"/>
                <w:color w:val="FF0000"/>
                <w:sz w:val="18"/>
                <w:szCs w:val="18"/>
                <w:lang w:eastAsia="en-GB"/>
              </w:rPr>
            </w:pPr>
            <w:r w:rsidRPr="00084C8B">
              <w:rPr>
                <w:rFonts w:asciiTheme="minorHAnsi" w:hAnsiTheme="minorHAnsi" w:cstheme="minorHAnsi"/>
                <w:color w:val="000000" w:themeColor="text1"/>
                <w:sz w:val="18"/>
                <w:szCs w:val="18"/>
                <w:lang w:eastAsia="en-GB"/>
              </w:rPr>
              <w:t>0.55</w:t>
            </w:r>
          </w:p>
        </w:tc>
        <w:tc>
          <w:tcPr>
            <w:tcW w:w="1315" w:type="dxa"/>
            <w:vAlign w:val="center"/>
          </w:tcPr>
          <w:p w14:paraId="5D6D0AA1" w14:textId="564FB006" w:rsidR="007E1BF0" w:rsidRPr="00084C8B" w:rsidRDefault="007E1BF0" w:rsidP="00E97A0B">
            <w:pPr>
              <w:jc w:val="right"/>
              <w:rPr>
                <w:rFonts w:asciiTheme="minorHAnsi" w:hAnsiTheme="minorHAnsi" w:cstheme="minorHAnsi"/>
                <w:color w:val="FF0000"/>
                <w:sz w:val="18"/>
                <w:szCs w:val="18"/>
                <w:lang w:eastAsia="en-GB"/>
              </w:rPr>
            </w:pPr>
            <w:r w:rsidRPr="00084C8B">
              <w:rPr>
                <w:rFonts w:asciiTheme="minorHAnsi" w:hAnsiTheme="minorHAnsi" w:cstheme="minorHAnsi"/>
                <w:color w:val="000000" w:themeColor="text1"/>
                <w:sz w:val="18"/>
                <w:szCs w:val="18"/>
                <w:lang w:eastAsia="en-GB"/>
              </w:rPr>
              <w:t>0.55</w:t>
            </w:r>
          </w:p>
        </w:tc>
        <w:tc>
          <w:tcPr>
            <w:tcW w:w="1315" w:type="dxa"/>
            <w:vAlign w:val="center"/>
          </w:tcPr>
          <w:p w14:paraId="125488B8" w14:textId="55A5C4A4" w:rsidR="007E1BF0" w:rsidRPr="00084C8B" w:rsidRDefault="007E1BF0" w:rsidP="00E97A0B">
            <w:pPr>
              <w:jc w:val="right"/>
              <w:rPr>
                <w:rFonts w:asciiTheme="minorHAnsi" w:hAnsiTheme="minorHAnsi" w:cstheme="minorHAnsi"/>
                <w:color w:val="000000" w:themeColor="text1"/>
                <w:sz w:val="18"/>
                <w:szCs w:val="18"/>
                <w:lang w:eastAsia="en-GB"/>
              </w:rPr>
            </w:pPr>
            <w:r w:rsidRPr="00084C8B">
              <w:rPr>
                <w:rFonts w:asciiTheme="minorHAnsi" w:hAnsiTheme="minorHAnsi" w:cs="Arial"/>
                <w:color w:val="000000"/>
                <w:sz w:val="18"/>
                <w:szCs w:val="18"/>
              </w:rPr>
              <w:t>0.27</w:t>
            </w:r>
          </w:p>
        </w:tc>
      </w:tr>
    </w:tbl>
    <w:p w14:paraId="70A1503A" w14:textId="77777777" w:rsidR="00C51DD8" w:rsidRPr="00D25BE7" w:rsidRDefault="00C51DD8" w:rsidP="00C51DD8">
      <w:pPr>
        <w:rPr>
          <w:rFonts w:asciiTheme="minorHAnsi" w:hAnsiTheme="minorHAnsi"/>
          <w:color w:val="000000" w:themeColor="text1"/>
          <w:lang w:val="en-GB"/>
        </w:rPr>
      </w:pPr>
      <w:r w:rsidRPr="00D25BE7">
        <w:rPr>
          <w:rFonts w:asciiTheme="minorHAnsi" w:hAnsiTheme="minorHAnsi"/>
        </w:rPr>
        <w:t xml:space="preserve"> </w:t>
      </w:r>
    </w:p>
    <w:p w14:paraId="1F218266" w14:textId="0598FCC2" w:rsidR="00821D38" w:rsidRPr="00D25BE7" w:rsidRDefault="00821D38" w:rsidP="00821D38">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 xml:space="preserve">The value of Government’s share of its investments in these SOEs (based on proportion of shareholders equity) is </w:t>
      </w:r>
      <w:r w:rsidR="00377C70">
        <w:rPr>
          <w:rFonts w:asciiTheme="minorHAnsi" w:hAnsiTheme="minorHAnsi"/>
          <w:color w:val="000000" w:themeColor="text1"/>
          <w:lang w:val="en-GB"/>
        </w:rPr>
        <w:t xml:space="preserve">approximately </w:t>
      </w:r>
      <w:r w:rsidRPr="00D25BE7">
        <w:rPr>
          <w:rFonts w:asciiTheme="minorHAnsi" w:hAnsiTheme="minorHAnsi"/>
          <w:color w:val="000000" w:themeColor="text1"/>
          <w:lang w:val="en-GB"/>
        </w:rPr>
        <w:t>US$</w:t>
      </w:r>
      <w:r w:rsidR="00377C70">
        <w:rPr>
          <w:rFonts w:asciiTheme="minorHAnsi" w:hAnsiTheme="minorHAnsi"/>
          <w:color w:val="000000" w:themeColor="text1"/>
          <w:lang w:val="en-GB"/>
        </w:rPr>
        <w:t>61</w:t>
      </w:r>
      <w:r w:rsidRPr="00D25BE7">
        <w:rPr>
          <w:rFonts w:asciiTheme="minorHAnsi" w:hAnsiTheme="minorHAnsi"/>
          <w:color w:val="000000" w:themeColor="text1"/>
          <w:lang w:val="en-GB"/>
        </w:rPr>
        <w:t>M</w:t>
      </w:r>
      <w:r w:rsidR="009A0B4B" w:rsidRPr="00D25BE7">
        <w:rPr>
          <w:rFonts w:asciiTheme="minorHAnsi" w:hAnsiTheme="minorHAnsi"/>
          <w:color w:val="000000" w:themeColor="text1"/>
          <w:lang w:val="en-GB"/>
        </w:rPr>
        <w:t>.</w:t>
      </w:r>
    </w:p>
    <w:p w14:paraId="639446B7" w14:textId="005A4329" w:rsidR="00821D38" w:rsidRPr="00D25BE7" w:rsidRDefault="00821D38" w:rsidP="00821D38">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While the return indicators are generally robust, there is concern about liquidity with low levels of liquid asset cover for obligations due.</w:t>
      </w:r>
    </w:p>
    <w:p w14:paraId="462CD0C9" w14:textId="77777777" w:rsidR="00AD14A4" w:rsidRPr="00D25BE7" w:rsidRDefault="00AD14A4" w:rsidP="00AD14A4">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There is indication of generally low debt financing. Debt can be a useful and inexpensive mechanism for business growth and can share the risks across other financing institutions in addition to owners’ capital. Government risk appetite will undoubtedly differ from ownership partners and Government guarantees either explicit (as with Econet) or implicit through not wanting businesses or industries to fail, requires a very careful debt management policy and approach by government.</w:t>
      </w:r>
    </w:p>
    <w:p w14:paraId="68E59FD6" w14:textId="16DD1E34" w:rsidR="005E6832" w:rsidRPr="00D25BE7" w:rsidRDefault="000348E8" w:rsidP="009C433E">
      <w:pPr>
        <w:pStyle w:val="Heading1"/>
        <w:rPr>
          <w:rFonts w:asciiTheme="minorHAnsi" w:hAnsiTheme="minorHAnsi"/>
        </w:rPr>
      </w:pPr>
      <w:bookmarkStart w:id="15" w:name="_Toc455467804"/>
      <w:r w:rsidRPr="00D25BE7">
        <w:rPr>
          <w:rFonts w:asciiTheme="minorHAnsi" w:hAnsiTheme="minorHAnsi"/>
        </w:rPr>
        <w:t>SECTOR ANALYSIS</w:t>
      </w:r>
      <w:bookmarkEnd w:id="15"/>
    </w:p>
    <w:p w14:paraId="69297A8B" w14:textId="3C22FB57" w:rsidR="00496EDF" w:rsidRPr="00D25BE7" w:rsidRDefault="008147D3" w:rsidP="00496EDF">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The SOEs broadly, fall into different business sectors and naturally, performance across the key indicators is influenced by the type of business within which the SOE operates. While sector groupings can be somewhat arbitrary and distracting, it is useful when attempting to assess performance with benchmarking.</w:t>
      </w:r>
    </w:p>
    <w:p w14:paraId="589E24BF" w14:textId="6B1A140B" w:rsidR="008147D3" w:rsidRPr="00D25BE7" w:rsidRDefault="001B2107" w:rsidP="00496EDF">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However, the Lesotho SOEs are relatively few (some countries have significantly more SOEs)</w:t>
      </w:r>
      <w:r w:rsidR="00F12A56" w:rsidRPr="00D25BE7">
        <w:rPr>
          <w:rFonts w:asciiTheme="minorHAnsi" w:hAnsiTheme="minorHAnsi"/>
          <w:color w:val="000000" w:themeColor="text1"/>
          <w:lang w:val="en-GB"/>
        </w:rPr>
        <w:t xml:space="preserve"> and the sectors are varied. Useful analysis is only applicable when several SOEs fall within the same broad sector. Two utility enterprises and two investment businesses offer limited value as a discrete sector analysis</w:t>
      </w:r>
      <w:r w:rsidR="00330356" w:rsidRPr="00D25BE7">
        <w:rPr>
          <w:rFonts w:asciiTheme="minorHAnsi" w:hAnsiTheme="minorHAnsi"/>
          <w:color w:val="000000" w:themeColor="text1"/>
          <w:lang w:val="en-GB"/>
        </w:rPr>
        <w:t>.</w:t>
      </w:r>
      <w:r w:rsidR="00F12A56" w:rsidRPr="00D25BE7">
        <w:rPr>
          <w:rFonts w:asciiTheme="minorHAnsi" w:hAnsiTheme="minorHAnsi"/>
          <w:color w:val="000000" w:themeColor="text1"/>
          <w:lang w:val="en-GB"/>
        </w:rPr>
        <w:t xml:space="preserve"> </w:t>
      </w:r>
      <w:r w:rsidR="00330356" w:rsidRPr="00D25BE7">
        <w:rPr>
          <w:rFonts w:asciiTheme="minorHAnsi" w:hAnsiTheme="minorHAnsi"/>
          <w:color w:val="000000" w:themeColor="text1"/>
          <w:lang w:val="en-GB"/>
        </w:rPr>
        <w:t xml:space="preserve"> </w:t>
      </w:r>
    </w:p>
    <w:p w14:paraId="3C2D52B6" w14:textId="67D2C9B4" w:rsidR="00FD7E43" w:rsidRPr="00354F2E" w:rsidRDefault="00F12A56" w:rsidP="00DB54A8">
      <w:pPr>
        <w:pStyle w:val="ListParagraph"/>
        <w:ind w:left="426" w:hanging="426"/>
        <w:rPr>
          <w:rFonts w:asciiTheme="minorHAnsi" w:hAnsiTheme="minorHAnsi"/>
          <w:color w:val="000000" w:themeColor="text1"/>
          <w:lang w:val="en-GB"/>
        </w:rPr>
      </w:pPr>
      <w:bookmarkStart w:id="16" w:name="OLE_LINK7"/>
      <w:r w:rsidRPr="00D25BE7">
        <w:rPr>
          <w:rFonts w:asciiTheme="minorHAnsi" w:hAnsiTheme="minorHAnsi"/>
          <w:color w:val="000000" w:themeColor="text1"/>
          <w:lang w:val="en-GB"/>
        </w:rPr>
        <w:t xml:space="preserve">Therefore, </w:t>
      </w:r>
      <w:r w:rsidR="00E6274A" w:rsidRPr="00D25BE7">
        <w:rPr>
          <w:rFonts w:asciiTheme="minorHAnsi" w:hAnsiTheme="minorHAnsi"/>
          <w:color w:val="000000" w:themeColor="text1"/>
          <w:lang w:val="en-GB"/>
        </w:rPr>
        <w:t>review</w:t>
      </w:r>
      <w:r w:rsidRPr="00D25BE7">
        <w:rPr>
          <w:rFonts w:asciiTheme="minorHAnsi" w:hAnsiTheme="minorHAnsi"/>
          <w:color w:val="000000" w:themeColor="text1"/>
          <w:lang w:val="en-GB"/>
        </w:rPr>
        <w:t xml:space="preserve"> at this time is confined to the t</w:t>
      </w:r>
      <w:r w:rsidR="00330356" w:rsidRPr="00D25BE7">
        <w:rPr>
          <w:rFonts w:asciiTheme="minorHAnsi" w:hAnsiTheme="minorHAnsi"/>
          <w:color w:val="000000" w:themeColor="text1"/>
          <w:lang w:val="en-GB"/>
        </w:rPr>
        <w:t>hree</w:t>
      </w:r>
      <w:r w:rsidRPr="00D25BE7">
        <w:rPr>
          <w:rFonts w:asciiTheme="minorHAnsi" w:hAnsiTheme="minorHAnsi"/>
          <w:color w:val="000000" w:themeColor="text1"/>
          <w:lang w:val="en-GB"/>
        </w:rPr>
        <w:t xml:space="preserve"> sectors of banking &amp; insurance (5 </w:t>
      </w:r>
      <w:r w:rsidR="00C94B81">
        <w:rPr>
          <w:rFonts w:asciiTheme="minorHAnsi" w:hAnsiTheme="minorHAnsi"/>
          <w:color w:val="000000" w:themeColor="text1"/>
          <w:lang w:val="en-GB"/>
        </w:rPr>
        <w:t>companie</w:t>
      </w:r>
      <w:r w:rsidR="00C94B81" w:rsidRPr="00D25BE7">
        <w:rPr>
          <w:rFonts w:asciiTheme="minorHAnsi" w:hAnsiTheme="minorHAnsi"/>
          <w:color w:val="000000" w:themeColor="text1"/>
          <w:lang w:val="en-GB"/>
        </w:rPr>
        <w:t>s</w:t>
      </w:r>
      <w:r w:rsidRPr="00D25BE7">
        <w:rPr>
          <w:rFonts w:asciiTheme="minorHAnsi" w:hAnsiTheme="minorHAnsi"/>
          <w:color w:val="000000" w:themeColor="text1"/>
          <w:lang w:val="en-GB"/>
        </w:rPr>
        <w:t>)</w:t>
      </w:r>
      <w:r w:rsidR="00330356" w:rsidRPr="00D25BE7">
        <w:rPr>
          <w:rFonts w:asciiTheme="minorHAnsi" w:hAnsiTheme="minorHAnsi"/>
          <w:color w:val="000000" w:themeColor="text1"/>
          <w:lang w:val="en-GB"/>
        </w:rPr>
        <w:t>,</w:t>
      </w:r>
      <w:r w:rsidRPr="00D25BE7">
        <w:rPr>
          <w:rFonts w:asciiTheme="minorHAnsi" w:hAnsiTheme="minorHAnsi"/>
          <w:color w:val="000000" w:themeColor="text1"/>
          <w:lang w:val="en-GB"/>
        </w:rPr>
        <w:t xml:space="preserve"> Industrial (</w:t>
      </w:r>
      <w:r w:rsidR="00055C19" w:rsidRPr="00D25BE7">
        <w:rPr>
          <w:rFonts w:asciiTheme="minorHAnsi" w:hAnsiTheme="minorHAnsi"/>
          <w:color w:val="000000" w:themeColor="text1"/>
          <w:lang w:val="en-GB"/>
        </w:rPr>
        <w:t>4</w:t>
      </w:r>
      <w:r w:rsidRPr="00D25BE7">
        <w:rPr>
          <w:rFonts w:asciiTheme="minorHAnsi" w:hAnsiTheme="minorHAnsi"/>
          <w:color w:val="000000" w:themeColor="text1"/>
          <w:lang w:val="en-GB"/>
        </w:rPr>
        <w:t xml:space="preserve"> </w:t>
      </w:r>
      <w:r w:rsidR="00C94B81">
        <w:rPr>
          <w:rFonts w:asciiTheme="minorHAnsi" w:hAnsiTheme="minorHAnsi"/>
          <w:color w:val="000000" w:themeColor="text1"/>
          <w:lang w:val="en-GB"/>
        </w:rPr>
        <w:t>companies</w:t>
      </w:r>
      <w:r w:rsidRPr="00D25BE7">
        <w:rPr>
          <w:rFonts w:asciiTheme="minorHAnsi" w:hAnsiTheme="minorHAnsi"/>
          <w:color w:val="000000" w:themeColor="text1"/>
          <w:lang w:val="en-GB"/>
        </w:rPr>
        <w:t>)</w:t>
      </w:r>
      <w:r w:rsidR="00330356" w:rsidRPr="00D25BE7">
        <w:rPr>
          <w:rFonts w:asciiTheme="minorHAnsi" w:hAnsiTheme="minorHAnsi"/>
          <w:color w:val="000000" w:themeColor="text1"/>
          <w:lang w:val="en-GB"/>
        </w:rPr>
        <w:t xml:space="preserve"> and mining (3 </w:t>
      </w:r>
      <w:r w:rsidR="00C94B81">
        <w:rPr>
          <w:rFonts w:asciiTheme="minorHAnsi" w:hAnsiTheme="minorHAnsi"/>
          <w:color w:val="000000" w:themeColor="text1"/>
          <w:lang w:val="en-GB"/>
        </w:rPr>
        <w:t>companie</w:t>
      </w:r>
      <w:r w:rsidR="00C94B81" w:rsidRPr="00D25BE7">
        <w:rPr>
          <w:rFonts w:asciiTheme="minorHAnsi" w:hAnsiTheme="minorHAnsi"/>
          <w:color w:val="000000" w:themeColor="text1"/>
          <w:lang w:val="en-GB"/>
        </w:rPr>
        <w:t>s</w:t>
      </w:r>
      <w:r w:rsidR="00330356" w:rsidRPr="00D25BE7">
        <w:rPr>
          <w:rFonts w:asciiTheme="minorHAnsi" w:hAnsiTheme="minorHAnsi"/>
          <w:color w:val="000000" w:themeColor="text1"/>
          <w:lang w:val="en-GB"/>
        </w:rPr>
        <w:t>)</w:t>
      </w:r>
      <w:r w:rsidRPr="00D25BE7">
        <w:rPr>
          <w:rFonts w:asciiTheme="minorHAnsi" w:hAnsiTheme="minorHAnsi"/>
          <w:color w:val="000000" w:themeColor="text1"/>
          <w:lang w:val="en-GB"/>
        </w:rPr>
        <w:t>.</w:t>
      </w:r>
      <w:r w:rsidR="00797E2B" w:rsidRPr="00D25BE7">
        <w:rPr>
          <w:rFonts w:asciiTheme="minorHAnsi" w:hAnsiTheme="minorHAnsi"/>
          <w:color w:val="000000" w:themeColor="text1"/>
          <w:lang w:val="en-GB"/>
        </w:rPr>
        <w:t xml:space="preserve"> </w:t>
      </w:r>
      <w:bookmarkEnd w:id="16"/>
    </w:p>
    <w:p w14:paraId="58FA8C7C" w14:textId="017C25F7" w:rsidR="00FD7E43" w:rsidRPr="00354F2E" w:rsidRDefault="00FD7E43" w:rsidP="00FD7E43">
      <w:pPr>
        <w:ind w:firstLine="426"/>
        <w:rPr>
          <w:rFonts w:asciiTheme="minorHAnsi" w:hAnsiTheme="minorHAnsi"/>
          <w:b/>
          <w:sz w:val="20"/>
          <w:lang w:val="en-GB"/>
        </w:rPr>
      </w:pPr>
      <w:r w:rsidRPr="00354F2E">
        <w:rPr>
          <w:rFonts w:asciiTheme="minorHAnsi" w:hAnsiTheme="minorHAnsi"/>
          <w:b/>
          <w:sz w:val="20"/>
          <w:lang w:val="en-GB"/>
        </w:rPr>
        <w:t xml:space="preserve">Figure </w:t>
      </w:r>
      <w:r w:rsidR="00581E31" w:rsidRPr="00354F2E">
        <w:rPr>
          <w:rFonts w:asciiTheme="minorHAnsi" w:hAnsiTheme="minorHAnsi"/>
          <w:b/>
          <w:sz w:val="20"/>
          <w:lang w:val="en-GB"/>
        </w:rPr>
        <w:t>11</w:t>
      </w:r>
      <w:r w:rsidR="007C02C8">
        <w:rPr>
          <w:rFonts w:asciiTheme="minorHAnsi" w:hAnsiTheme="minorHAnsi"/>
          <w:b/>
          <w:sz w:val="20"/>
          <w:lang w:val="en-GB"/>
        </w:rPr>
        <w:t>. Sector Contributions 2017/2018</w:t>
      </w:r>
    </w:p>
    <w:p w14:paraId="4CCF50AB" w14:textId="77777777" w:rsidR="00581E31" w:rsidRDefault="00581E31" w:rsidP="00FD7E43">
      <w:pPr>
        <w:pStyle w:val="ListParagraph"/>
        <w:numPr>
          <w:ilvl w:val="0"/>
          <w:numId w:val="0"/>
        </w:numPr>
        <w:ind w:left="426"/>
        <w:rPr>
          <w:rFonts w:asciiTheme="minorHAnsi" w:hAnsiTheme="minorHAnsi"/>
          <w:color w:val="000000" w:themeColor="text1"/>
          <w:lang w:val="en-GB"/>
        </w:rPr>
      </w:pPr>
    </w:p>
    <w:p w14:paraId="693562BE" w14:textId="4FEA5A92" w:rsidR="00FD7E43" w:rsidRPr="00D25BE7" w:rsidRDefault="00581E31" w:rsidP="00FD7E43">
      <w:pPr>
        <w:pStyle w:val="ListParagraph"/>
        <w:numPr>
          <w:ilvl w:val="0"/>
          <w:numId w:val="0"/>
        </w:numPr>
        <w:ind w:left="426"/>
        <w:rPr>
          <w:rFonts w:asciiTheme="minorHAnsi" w:hAnsiTheme="minorHAnsi"/>
          <w:color w:val="000000" w:themeColor="text1"/>
          <w:lang w:val="en-GB"/>
        </w:rPr>
      </w:pPr>
      <w:r>
        <w:rPr>
          <w:noProof/>
        </w:rPr>
        <w:lastRenderedPageBreak/>
        <w:drawing>
          <wp:inline distT="0" distB="0" distL="0" distR="0" wp14:anchorId="030F5119" wp14:editId="1D10A9B5">
            <wp:extent cx="4647565" cy="2971800"/>
            <wp:effectExtent l="25400" t="25400" r="102235" b="101600"/>
            <wp:docPr id="8" name="Chart 8">
              <a:extLst xmlns:a="http://schemas.openxmlformats.org/drawingml/2006/main">
                <a:ext uri="{FF2B5EF4-FFF2-40B4-BE49-F238E27FC236}">
                  <a16:creationId xmlns:a16="http://schemas.microsoft.com/office/drawing/2014/main" id="{062766B4-F613-7549-AAF7-EE79DC4590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3D3FB6E" w14:textId="14BF180F" w:rsidR="00293434" w:rsidRDefault="00293434" w:rsidP="00293434">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 xml:space="preserve">It is clear that the </w:t>
      </w:r>
      <w:r w:rsidR="009D67F4">
        <w:rPr>
          <w:rFonts w:asciiTheme="minorHAnsi" w:hAnsiTheme="minorHAnsi"/>
          <w:color w:val="000000" w:themeColor="text1"/>
          <w:lang w:val="en-GB"/>
        </w:rPr>
        <w:t>balance of contribution has changed significantly in the FY 2017/18. The M</w:t>
      </w:r>
      <w:r w:rsidR="009D67F4" w:rsidRPr="00D25BE7">
        <w:rPr>
          <w:rFonts w:asciiTheme="minorHAnsi" w:hAnsiTheme="minorHAnsi"/>
          <w:color w:val="000000" w:themeColor="text1"/>
          <w:lang w:val="en-GB"/>
        </w:rPr>
        <w:t xml:space="preserve">ining </w:t>
      </w:r>
      <w:r w:rsidRPr="00D25BE7">
        <w:rPr>
          <w:rFonts w:asciiTheme="minorHAnsi" w:hAnsiTheme="minorHAnsi"/>
          <w:color w:val="000000" w:themeColor="text1"/>
          <w:lang w:val="en-GB"/>
        </w:rPr>
        <w:t xml:space="preserve">sector is </w:t>
      </w:r>
      <w:r w:rsidR="009D67F4">
        <w:rPr>
          <w:rFonts w:asciiTheme="minorHAnsi" w:hAnsiTheme="minorHAnsi"/>
          <w:color w:val="000000" w:themeColor="text1"/>
          <w:lang w:val="en-GB"/>
        </w:rPr>
        <w:t xml:space="preserve">still </w:t>
      </w:r>
      <w:r w:rsidRPr="00D25BE7">
        <w:rPr>
          <w:rFonts w:asciiTheme="minorHAnsi" w:hAnsiTheme="minorHAnsi"/>
          <w:color w:val="000000" w:themeColor="text1"/>
          <w:lang w:val="en-GB"/>
        </w:rPr>
        <w:t>the major contributor</w:t>
      </w:r>
      <w:r w:rsidR="00E6274A" w:rsidRPr="00D25BE7">
        <w:rPr>
          <w:rFonts w:asciiTheme="minorHAnsi" w:hAnsiTheme="minorHAnsi"/>
          <w:color w:val="000000" w:themeColor="text1"/>
          <w:lang w:val="en-GB"/>
        </w:rPr>
        <w:t xml:space="preserve"> of revenues, profits and tax payables,</w:t>
      </w:r>
      <w:r w:rsidRPr="00D25BE7">
        <w:rPr>
          <w:rFonts w:asciiTheme="minorHAnsi" w:hAnsiTheme="minorHAnsi"/>
          <w:color w:val="000000" w:themeColor="text1"/>
          <w:lang w:val="en-GB"/>
        </w:rPr>
        <w:t xml:space="preserve"> although </w:t>
      </w:r>
      <w:r w:rsidR="00616DEB">
        <w:rPr>
          <w:rFonts w:asciiTheme="minorHAnsi" w:hAnsiTheme="minorHAnsi"/>
          <w:color w:val="000000" w:themeColor="text1"/>
          <w:lang w:val="en-GB"/>
        </w:rPr>
        <w:t xml:space="preserve">taxes at a greatly reduced level due to </w:t>
      </w:r>
      <w:proofErr w:type="spellStart"/>
      <w:r w:rsidR="00616DEB">
        <w:rPr>
          <w:rFonts w:asciiTheme="minorHAnsi" w:hAnsiTheme="minorHAnsi"/>
          <w:color w:val="000000" w:themeColor="text1"/>
          <w:lang w:val="en-GB"/>
        </w:rPr>
        <w:t>Letseng</w:t>
      </w:r>
      <w:proofErr w:type="spellEnd"/>
      <w:r w:rsidR="00616DEB">
        <w:rPr>
          <w:rFonts w:asciiTheme="minorHAnsi" w:hAnsiTheme="minorHAnsi"/>
          <w:color w:val="000000" w:themeColor="text1"/>
          <w:lang w:val="en-GB"/>
        </w:rPr>
        <w:t xml:space="preserve"> Diamond’s performance</w:t>
      </w:r>
      <w:r w:rsidRPr="00D25BE7">
        <w:rPr>
          <w:rFonts w:asciiTheme="minorHAnsi" w:hAnsiTheme="minorHAnsi"/>
          <w:color w:val="000000" w:themeColor="text1"/>
          <w:lang w:val="en-GB"/>
        </w:rPr>
        <w:t>. The banking &amp; insurance sector is a consistently strong performer</w:t>
      </w:r>
      <w:r w:rsidR="00616DEB">
        <w:rPr>
          <w:rFonts w:asciiTheme="minorHAnsi" w:hAnsiTheme="minorHAnsi"/>
          <w:color w:val="000000" w:themeColor="text1"/>
          <w:lang w:val="en-GB"/>
        </w:rPr>
        <w:t xml:space="preserve"> and in th</w:t>
      </w:r>
      <w:r w:rsidR="00C94B81">
        <w:rPr>
          <w:rFonts w:asciiTheme="minorHAnsi" w:hAnsiTheme="minorHAnsi"/>
          <w:color w:val="000000" w:themeColor="text1"/>
          <w:lang w:val="en-GB"/>
        </w:rPr>
        <w:t>e</w:t>
      </w:r>
      <w:r w:rsidR="00616DEB">
        <w:rPr>
          <w:rFonts w:asciiTheme="minorHAnsi" w:hAnsiTheme="minorHAnsi"/>
          <w:color w:val="000000" w:themeColor="text1"/>
          <w:lang w:val="en-GB"/>
        </w:rPr>
        <w:t xml:space="preserve"> </w:t>
      </w:r>
      <w:r w:rsidR="00C94B81">
        <w:rPr>
          <w:rFonts w:asciiTheme="minorHAnsi" w:hAnsiTheme="minorHAnsi"/>
          <w:color w:val="000000" w:themeColor="text1"/>
          <w:lang w:val="en-GB"/>
        </w:rPr>
        <w:t xml:space="preserve">2017/18 </w:t>
      </w:r>
      <w:r w:rsidR="00616DEB">
        <w:rPr>
          <w:rFonts w:asciiTheme="minorHAnsi" w:hAnsiTheme="minorHAnsi"/>
          <w:color w:val="000000" w:themeColor="text1"/>
          <w:lang w:val="en-GB"/>
        </w:rPr>
        <w:t xml:space="preserve">FY has provided the vast majority of dividends to GoL. </w:t>
      </w:r>
      <w:r w:rsidRPr="00D25BE7">
        <w:rPr>
          <w:rFonts w:asciiTheme="minorHAnsi" w:hAnsiTheme="minorHAnsi"/>
          <w:color w:val="000000" w:themeColor="text1"/>
          <w:lang w:val="en-GB"/>
        </w:rPr>
        <w:t xml:space="preserve"> </w:t>
      </w:r>
      <w:r w:rsidR="00616DEB">
        <w:rPr>
          <w:rFonts w:asciiTheme="minorHAnsi" w:hAnsiTheme="minorHAnsi"/>
          <w:color w:val="000000" w:themeColor="text1"/>
          <w:lang w:val="en-GB"/>
        </w:rPr>
        <w:t>I</w:t>
      </w:r>
      <w:r w:rsidRPr="00D25BE7">
        <w:rPr>
          <w:rFonts w:asciiTheme="minorHAnsi" w:hAnsiTheme="minorHAnsi"/>
          <w:color w:val="000000" w:themeColor="text1"/>
          <w:lang w:val="en-GB"/>
        </w:rPr>
        <w:t>t is important to remember that the asset base within this sector is liquid assets (customer deposits) rather than the bias to physical assets within the other sectors.</w:t>
      </w:r>
    </w:p>
    <w:p w14:paraId="17854370" w14:textId="77777777" w:rsidR="00616DEB" w:rsidRPr="00D25BE7" w:rsidRDefault="00616DEB" w:rsidP="00616DEB">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PSD will attempt relevant benchmarking with neighbouring country indicators in due-course, if and when reliable data can be attained and size and operational issues can be identified to provide useful comparisons.</w:t>
      </w:r>
    </w:p>
    <w:p w14:paraId="234B36E2" w14:textId="77777777" w:rsidR="00616DEB" w:rsidRPr="00354F2E" w:rsidRDefault="00616DEB" w:rsidP="00354F2E">
      <w:pPr>
        <w:rPr>
          <w:rFonts w:asciiTheme="minorHAnsi" w:hAnsiTheme="minorHAnsi"/>
          <w:color w:val="000000" w:themeColor="text1"/>
          <w:lang w:val="en-GB"/>
        </w:rPr>
      </w:pPr>
    </w:p>
    <w:p w14:paraId="7D4A10AB" w14:textId="1D6E7A4B" w:rsidR="00550076" w:rsidRPr="00D25BE7" w:rsidRDefault="00550076" w:rsidP="009C433E">
      <w:pPr>
        <w:rPr>
          <w:rFonts w:asciiTheme="minorHAnsi" w:hAnsiTheme="minorHAnsi"/>
          <w:color w:val="000000" w:themeColor="text1"/>
          <w:lang w:val="en-GB"/>
        </w:rPr>
      </w:pPr>
    </w:p>
    <w:p w14:paraId="37AF8645" w14:textId="30BBCA72" w:rsidR="00550076" w:rsidRPr="00D25BE7" w:rsidRDefault="000348E8" w:rsidP="00550076">
      <w:pPr>
        <w:pStyle w:val="Heading1"/>
        <w:rPr>
          <w:rFonts w:asciiTheme="minorHAnsi" w:hAnsiTheme="minorHAnsi"/>
        </w:rPr>
      </w:pPr>
      <w:bookmarkStart w:id="17" w:name="_Toc455467805"/>
      <w:r w:rsidRPr="00D25BE7">
        <w:rPr>
          <w:rFonts w:asciiTheme="minorHAnsi" w:hAnsiTheme="minorHAnsi"/>
        </w:rPr>
        <w:t xml:space="preserve">OTHER INFLOWS AND OUTFLOWS </w:t>
      </w:r>
      <w:r w:rsidR="004E7664" w:rsidRPr="00D25BE7">
        <w:rPr>
          <w:rFonts w:asciiTheme="minorHAnsi" w:hAnsiTheme="minorHAnsi"/>
        </w:rPr>
        <w:t>TO/</w:t>
      </w:r>
      <w:r w:rsidRPr="00D25BE7">
        <w:rPr>
          <w:rFonts w:asciiTheme="minorHAnsi" w:hAnsiTheme="minorHAnsi"/>
        </w:rPr>
        <w:t>FROM THE SOE SECTOR</w:t>
      </w:r>
      <w:bookmarkEnd w:id="17"/>
    </w:p>
    <w:p w14:paraId="704878AD" w14:textId="672E2181" w:rsidR="00E241D0" w:rsidRPr="00D25BE7" w:rsidRDefault="00E241D0" w:rsidP="00E241D0">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The Government supports the SOE sector through subsidy/subvention and through provision of capital grants and on-lending of international development partner assistance. Generally, the 100% owned SOE group are the largest recipients of government support.</w:t>
      </w:r>
    </w:p>
    <w:p w14:paraId="2D00AABA" w14:textId="0B94D625" w:rsidR="00E241D0" w:rsidRPr="00D25BE7" w:rsidRDefault="00E241D0" w:rsidP="00E241D0">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The SOE sector provides inflows to Government through its business transactions, payment of duties, royalties and indirect taxes. In addition</w:t>
      </w:r>
      <w:r w:rsidR="00453788" w:rsidRPr="00D25BE7">
        <w:rPr>
          <w:rFonts w:asciiTheme="minorHAnsi" w:hAnsiTheme="minorHAnsi"/>
          <w:color w:val="000000" w:themeColor="text1"/>
          <w:lang w:val="en-GB"/>
        </w:rPr>
        <w:t>,</w:t>
      </w:r>
      <w:r w:rsidRPr="00D25BE7">
        <w:rPr>
          <w:rFonts w:asciiTheme="minorHAnsi" w:hAnsiTheme="minorHAnsi"/>
          <w:color w:val="000000" w:themeColor="text1"/>
          <w:lang w:val="en-GB"/>
        </w:rPr>
        <w:t xml:space="preserve"> SOEs </w:t>
      </w:r>
      <w:r w:rsidR="00453788" w:rsidRPr="00D25BE7">
        <w:rPr>
          <w:rFonts w:asciiTheme="minorHAnsi" w:hAnsiTheme="minorHAnsi"/>
          <w:color w:val="000000" w:themeColor="text1"/>
          <w:lang w:val="en-GB"/>
        </w:rPr>
        <w:t xml:space="preserve">(some of them) </w:t>
      </w:r>
      <w:r w:rsidRPr="00D25BE7">
        <w:rPr>
          <w:rFonts w:asciiTheme="minorHAnsi" w:hAnsiTheme="minorHAnsi"/>
          <w:color w:val="000000" w:themeColor="text1"/>
          <w:lang w:val="en-GB"/>
        </w:rPr>
        <w:t>provide direct taxation and dividend payments to Government.</w:t>
      </w:r>
      <w:r w:rsidR="00453788" w:rsidRPr="00D25BE7">
        <w:rPr>
          <w:rFonts w:asciiTheme="minorHAnsi" w:hAnsiTheme="minorHAnsi"/>
          <w:color w:val="000000" w:themeColor="text1"/>
          <w:lang w:val="en-GB"/>
        </w:rPr>
        <w:t xml:space="preserve"> The highest contributions of direct payments to Government are from the minority shareholdings</w:t>
      </w:r>
      <w:r w:rsidR="00E26C89" w:rsidRPr="00D25BE7">
        <w:rPr>
          <w:rFonts w:asciiTheme="minorHAnsi" w:hAnsiTheme="minorHAnsi"/>
          <w:color w:val="000000" w:themeColor="text1"/>
          <w:lang w:val="en-GB"/>
        </w:rPr>
        <w:t>.</w:t>
      </w:r>
    </w:p>
    <w:p w14:paraId="4EC9E421" w14:textId="1C90E1D3" w:rsidR="00453788" w:rsidRPr="00D25BE7" w:rsidRDefault="00453788" w:rsidP="00E241D0">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Broadly, therefore one group of SOEs is dependent on receipt of government support while another group provides most of the returns to Government. There are complex issues involved in this determination</w:t>
      </w:r>
      <w:r w:rsidR="003540F8">
        <w:rPr>
          <w:rFonts w:asciiTheme="minorHAnsi" w:hAnsiTheme="minorHAnsi"/>
          <w:color w:val="000000" w:themeColor="text1"/>
          <w:lang w:val="en-GB"/>
        </w:rPr>
        <w:t>. H</w:t>
      </w:r>
      <w:r w:rsidRPr="00D25BE7">
        <w:rPr>
          <w:rFonts w:asciiTheme="minorHAnsi" w:hAnsiTheme="minorHAnsi"/>
          <w:color w:val="000000" w:themeColor="text1"/>
          <w:lang w:val="en-GB"/>
        </w:rPr>
        <w:t xml:space="preserve">owever, if SOEs </w:t>
      </w:r>
      <w:r w:rsidR="00383FF7" w:rsidRPr="00D25BE7">
        <w:rPr>
          <w:rFonts w:asciiTheme="minorHAnsi" w:hAnsiTheme="minorHAnsi"/>
          <w:color w:val="000000" w:themeColor="text1"/>
          <w:lang w:val="en-GB"/>
        </w:rPr>
        <w:t xml:space="preserve">clearly </w:t>
      </w:r>
      <w:r w:rsidRPr="00D25BE7">
        <w:rPr>
          <w:rFonts w:asciiTheme="minorHAnsi" w:hAnsiTheme="minorHAnsi"/>
          <w:color w:val="000000" w:themeColor="text1"/>
          <w:lang w:val="en-GB"/>
        </w:rPr>
        <w:t>identify and price their social service obligations that are then funded as such, rather than as general subsidy/subvention</w:t>
      </w:r>
      <w:r w:rsidR="00383FF7" w:rsidRPr="00D25BE7">
        <w:rPr>
          <w:rFonts w:asciiTheme="minorHAnsi" w:hAnsiTheme="minorHAnsi"/>
          <w:color w:val="000000" w:themeColor="text1"/>
          <w:lang w:val="en-GB"/>
        </w:rPr>
        <w:t xml:space="preserve"> (or the requirement for capital grants)</w:t>
      </w:r>
      <w:r w:rsidRPr="00D25BE7">
        <w:rPr>
          <w:rFonts w:asciiTheme="minorHAnsi" w:hAnsiTheme="minorHAnsi"/>
          <w:color w:val="000000" w:themeColor="text1"/>
          <w:lang w:val="en-GB"/>
        </w:rPr>
        <w:t xml:space="preserve"> it would </w:t>
      </w:r>
      <w:r w:rsidR="00383FF7" w:rsidRPr="00D25BE7">
        <w:rPr>
          <w:rFonts w:asciiTheme="minorHAnsi" w:hAnsiTheme="minorHAnsi"/>
          <w:color w:val="000000" w:themeColor="text1"/>
          <w:lang w:val="en-GB"/>
        </w:rPr>
        <w:t>improve transparency of financing the businesses and reduce/eliminate subvention/grant support</w:t>
      </w:r>
      <w:r w:rsidR="00D62271" w:rsidRPr="00D25BE7">
        <w:rPr>
          <w:rFonts w:asciiTheme="minorHAnsi" w:hAnsiTheme="minorHAnsi"/>
          <w:color w:val="000000" w:themeColor="text1"/>
          <w:lang w:val="en-GB"/>
        </w:rPr>
        <w:t xml:space="preserve">. On the other hand, if the shareholding and </w:t>
      </w:r>
      <w:r w:rsidR="00D62271" w:rsidRPr="00D25BE7">
        <w:rPr>
          <w:rFonts w:asciiTheme="minorHAnsi" w:hAnsiTheme="minorHAnsi"/>
          <w:color w:val="000000" w:themeColor="text1"/>
          <w:lang w:val="en-GB"/>
        </w:rPr>
        <w:lastRenderedPageBreak/>
        <w:t xml:space="preserve">management agreements with partially owned SOEs are strengthened to provide for management fees and related costs on a performance-basis, and to include dividend policies for all shareholders benefit, then again, clarity surrounding </w:t>
      </w:r>
      <w:r w:rsidR="005A7D7B" w:rsidRPr="00D25BE7">
        <w:rPr>
          <w:rFonts w:asciiTheme="minorHAnsi" w:hAnsiTheme="minorHAnsi"/>
          <w:color w:val="000000" w:themeColor="text1"/>
          <w:lang w:val="en-GB"/>
        </w:rPr>
        <w:t>a fair allocation of enterprise resources</w:t>
      </w:r>
      <w:r w:rsidR="00D62271" w:rsidRPr="00D25BE7">
        <w:rPr>
          <w:rFonts w:asciiTheme="minorHAnsi" w:hAnsiTheme="minorHAnsi"/>
          <w:color w:val="000000" w:themeColor="text1"/>
          <w:lang w:val="en-GB"/>
        </w:rPr>
        <w:t xml:space="preserve"> would be enhanced.</w:t>
      </w:r>
    </w:p>
    <w:p w14:paraId="0187F3FE" w14:textId="4579B112" w:rsidR="00356468" w:rsidRPr="00D25BE7" w:rsidRDefault="00356468" w:rsidP="00E241D0">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 xml:space="preserve">Although the six wholly-owned SOEs are the primary recipients of Government support, LEC, WASCO, LPB and LNDC are the largest beneficiaries. Of these, LEC, WASCO and LNDC classify </w:t>
      </w:r>
      <w:r w:rsidR="00671312" w:rsidRPr="00D25BE7">
        <w:rPr>
          <w:rFonts w:asciiTheme="minorHAnsi" w:hAnsiTheme="minorHAnsi"/>
          <w:color w:val="000000" w:themeColor="text1"/>
          <w:lang w:val="en-GB"/>
        </w:rPr>
        <w:t>major</w:t>
      </w:r>
      <w:r w:rsidRPr="00D25BE7">
        <w:rPr>
          <w:rFonts w:asciiTheme="minorHAnsi" w:hAnsiTheme="minorHAnsi"/>
          <w:color w:val="000000" w:themeColor="text1"/>
          <w:lang w:val="en-GB"/>
        </w:rPr>
        <w:t xml:space="preserve"> receipts as special funding or capital grants. I</w:t>
      </w:r>
      <w:r w:rsidR="00671312" w:rsidRPr="00D25BE7">
        <w:rPr>
          <w:rFonts w:asciiTheme="minorHAnsi" w:hAnsiTheme="minorHAnsi"/>
          <w:color w:val="000000" w:themeColor="text1"/>
          <w:lang w:val="en-GB"/>
        </w:rPr>
        <w:t>t</w:t>
      </w:r>
      <w:r w:rsidRPr="00D25BE7">
        <w:rPr>
          <w:rFonts w:asciiTheme="minorHAnsi" w:hAnsiTheme="minorHAnsi"/>
          <w:color w:val="000000" w:themeColor="text1"/>
          <w:lang w:val="en-GB"/>
        </w:rPr>
        <w:t xml:space="preserve"> appears that overall balances are provided and the SOE draws-down and amortises the value of the total grant over a life, based on assets </w:t>
      </w:r>
      <w:r w:rsidR="00383FF7" w:rsidRPr="00D25BE7">
        <w:rPr>
          <w:rFonts w:asciiTheme="minorHAnsi" w:hAnsiTheme="minorHAnsi"/>
          <w:color w:val="000000" w:themeColor="text1"/>
          <w:lang w:val="en-GB"/>
        </w:rPr>
        <w:t>acquired/</w:t>
      </w:r>
      <w:r w:rsidRPr="00D25BE7">
        <w:rPr>
          <w:rFonts w:asciiTheme="minorHAnsi" w:hAnsiTheme="minorHAnsi"/>
          <w:color w:val="000000" w:themeColor="text1"/>
          <w:lang w:val="en-GB"/>
        </w:rPr>
        <w:t>constructed using grant fees</w:t>
      </w:r>
      <w:r w:rsidR="00671312" w:rsidRPr="00D25BE7">
        <w:rPr>
          <w:rFonts w:asciiTheme="minorHAnsi" w:hAnsiTheme="minorHAnsi"/>
          <w:color w:val="000000" w:themeColor="text1"/>
          <w:lang w:val="en-GB"/>
        </w:rPr>
        <w:t xml:space="preserve"> and in accord with grant agreements. </w:t>
      </w:r>
      <w:r w:rsidRPr="00D25BE7">
        <w:rPr>
          <w:rFonts w:asciiTheme="minorHAnsi" w:hAnsiTheme="minorHAnsi"/>
          <w:color w:val="000000" w:themeColor="text1"/>
          <w:lang w:val="en-GB"/>
        </w:rPr>
        <w:t>WASCO treats the balance as government equity. The treatments of such funding and grants are not qualified in the audit reports suggesting they are compliant with IFRS standards, while PSD continues to try to access detailed information and documentation for the same.</w:t>
      </w:r>
    </w:p>
    <w:p w14:paraId="251A0DC4" w14:textId="77777777" w:rsidR="00C31843" w:rsidRPr="00D25BE7" w:rsidRDefault="00356468" w:rsidP="00E241D0">
      <w:pPr>
        <w:pStyle w:val="ListParagraph"/>
        <w:ind w:left="426" w:hanging="426"/>
        <w:rPr>
          <w:rFonts w:asciiTheme="minorHAnsi" w:hAnsiTheme="minorHAnsi"/>
          <w:color w:val="FF0000"/>
          <w:lang w:val="en-GB"/>
        </w:rPr>
      </w:pPr>
      <w:r w:rsidRPr="00D25BE7">
        <w:rPr>
          <w:rFonts w:asciiTheme="minorHAnsi" w:hAnsiTheme="minorHAnsi"/>
          <w:color w:val="000000" w:themeColor="text1"/>
          <w:lang w:val="en-GB"/>
        </w:rPr>
        <w:t xml:space="preserve">Broadly, grants or funding that is assigned to particular asset constructions is, as treated in the AFS, different from subsidy/subvention support. </w:t>
      </w:r>
      <w:r w:rsidR="00671312" w:rsidRPr="00D25BE7">
        <w:rPr>
          <w:rFonts w:asciiTheme="minorHAnsi" w:hAnsiTheme="minorHAnsi"/>
          <w:color w:val="000000" w:themeColor="text1"/>
          <w:lang w:val="en-GB"/>
        </w:rPr>
        <w:t>T</w:t>
      </w:r>
      <w:r w:rsidRPr="00D25BE7">
        <w:rPr>
          <w:rFonts w:asciiTheme="minorHAnsi" w:hAnsiTheme="minorHAnsi"/>
          <w:color w:val="000000" w:themeColor="text1"/>
          <w:lang w:val="en-GB"/>
        </w:rPr>
        <w:t>he value of such payments is high and poses fiscal concerns for government</w:t>
      </w:r>
      <w:r w:rsidR="00671312" w:rsidRPr="00D25BE7">
        <w:rPr>
          <w:rFonts w:asciiTheme="minorHAnsi" w:hAnsiTheme="minorHAnsi"/>
          <w:color w:val="000000" w:themeColor="text1"/>
          <w:lang w:val="en-GB"/>
        </w:rPr>
        <w:t xml:space="preserve">. </w:t>
      </w:r>
      <w:r w:rsidR="00383FF7" w:rsidRPr="00D25BE7">
        <w:rPr>
          <w:rFonts w:asciiTheme="minorHAnsi" w:hAnsiTheme="minorHAnsi"/>
          <w:color w:val="000000" w:themeColor="text1"/>
          <w:lang w:val="en-GB"/>
        </w:rPr>
        <w:t>It is asserted, but not substantiated that some subventions are paid from line ministries but not disclosed specifically in the AFS.</w:t>
      </w:r>
    </w:p>
    <w:p w14:paraId="3C7958F8" w14:textId="3B852274" w:rsidR="00383FF7" w:rsidRPr="00D25BE7" w:rsidRDefault="00C31843" w:rsidP="00E241D0">
      <w:pPr>
        <w:pStyle w:val="ListParagraph"/>
        <w:ind w:left="426" w:hanging="426"/>
        <w:rPr>
          <w:rFonts w:asciiTheme="minorHAnsi" w:hAnsiTheme="minorHAnsi"/>
          <w:color w:val="FF0000"/>
          <w:lang w:val="en-GB"/>
        </w:rPr>
      </w:pPr>
      <w:r w:rsidRPr="00D25BE7">
        <w:rPr>
          <w:rFonts w:asciiTheme="minorHAnsi" w:hAnsiTheme="minorHAnsi"/>
          <w:color w:val="000000" w:themeColor="text1"/>
          <w:lang w:val="en-GB"/>
        </w:rPr>
        <w:t>Some subvention support is not separately identified in the AFS and where independent verification is unavailable, such support is excluded from this analysis.</w:t>
      </w:r>
      <w:r w:rsidR="00383FF7" w:rsidRPr="00D25BE7">
        <w:rPr>
          <w:rFonts w:asciiTheme="minorHAnsi" w:hAnsiTheme="minorHAnsi"/>
          <w:color w:val="000000" w:themeColor="text1"/>
          <w:lang w:val="en-GB"/>
        </w:rPr>
        <w:t xml:space="preserve"> </w:t>
      </w:r>
    </w:p>
    <w:p w14:paraId="273CC430" w14:textId="06DA15FF" w:rsidR="00356468" w:rsidRPr="00D25BE7" w:rsidRDefault="00356468" w:rsidP="00E241D0">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Capital grant</w:t>
      </w:r>
      <w:r w:rsidR="00383FF7" w:rsidRPr="00D25BE7">
        <w:rPr>
          <w:rFonts w:asciiTheme="minorHAnsi" w:hAnsiTheme="minorHAnsi"/>
          <w:color w:val="000000" w:themeColor="text1"/>
          <w:lang w:val="en-GB"/>
        </w:rPr>
        <w:t>s</w:t>
      </w:r>
      <w:r w:rsidRPr="00D25BE7">
        <w:rPr>
          <w:rFonts w:asciiTheme="minorHAnsi" w:hAnsiTheme="minorHAnsi"/>
          <w:color w:val="000000" w:themeColor="text1"/>
          <w:lang w:val="en-GB"/>
        </w:rPr>
        <w:t xml:space="preserve"> </w:t>
      </w:r>
      <w:r w:rsidR="00DB4976" w:rsidRPr="00D25BE7">
        <w:rPr>
          <w:rFonts w:asciiTheme="minorHAnsi" w:hAnsiTheme="minorHAnsi"/>
          <w:color w:val="000000" w:themeColor="text1"/>
          <w:lang w:val="en-GB"/>
        </w:rPr>
        <w:t xml:space="preserve">and identified subventions </w:t>
      </w:r>
      <w:r w:rsidRPr="00D25BE7">
        <w:rPr>
          <w:rFonts w:asciiTheme="minorHAnsi" w:hAnsiTheme="minorHAnsi"/>
          <w:color w:val="000000" w:themeColor="text1"/>
          <w:lang w:val="en-GB"/>
        </w:rPr>
        <w:t>are</w:t>
      </w:r>
      <w:r w:rsidR="00383FF7" w:rsidRPr="00D25BE7">
        <w:rPr>
          <w:rFonts w:asciiTheme="minorHAnsi" w:hAnsiTheme="minorHAnsi"/>
          <w:color w:val="000000" w:themeColor="text1"/>
          <w:lang w:val="en-GB"/>
        </w:rPr>
        <w:t xml:space="preserve"> as</w:t>
      </w:r>
      <w:r w:rsidRPr="00D25BE7">
        <w:rPr>
          <w:rFonts w:asciiTheme="minorHAnsi" w:hAnsiTheme="minorHAnsi"/>
          <w:color w:val="000000" w:themeColor="text1"/>
          <w:lang w:val="en-GB"/>
        </w:rPr>
        <w:t xml:space="preserve"> indicated.</w:t>
      </w:r>
    </w:p>
    <w:p w14:paraId="73807BC7" w14:textId="0260331A" w:rsidR="00CB1534" w:rsidRPr="00243C32" w:rsidRDefault="00CB1534" w:rsidP="00CB1534">
      <w:pPr>
        <w:ind w:firstLine="426"/>
        <w:rPr>
          <w:rFonts w:asciiTheme="minorHAnsi" w:hAnsiTheme="minorHAnsi"/>
          <w:b/>
          <w:sz w:val="20"/>
          <w:lang w:val="en-GB"/>
        </w:rPr>
      </w:pPr>
      <w:r w:rsidRPr="00243C32">
        <w:rPr>
          <w:rFonts w:asciiTheme="minorHAnsi" w:hAnsiTheme="minorHAnsi"/>
          <w:b/>
          <w:sz w:val="20"/>
          <w:lang w:val="en-GB"/>
        </w:rPr>
        <w:t xml:space="preserve">Table </w:t>
      </w:r>
      <w:r w:rsidR="00F31F6C">
        <w:rPr>
          <w:rFonts w:asciiTheme="minorHAnsi" w:hAnsiTheme="minorHAnsi"/>
          <w:b/>
          <w:sz w:val="20"/>
          <w:lang w:val="en-GB"/>
        </w:rPr>
        <w:t>8</w:t>
      </w:r>
      <w:r w:rsidRPr="00243C32">
        <w:rPr>
          <w:rFonts w:asciiTheme="minorHAnsi" w:hAnsiTheme="minorHAnsi"/>
          <w:b/>
          <w:sz w:val="20"/>
          <w:lang w:val="en-GB"/>
        </w:rPr>
        <w:t xml:space="preserve">: </w:t>
      </w:r>
      <w:r w:rsidR="00930963" w:rsidRPr="00243C32">
        <w:rPr>
          <w:rFonts w:asciiTheme="minorHAnsi" w:hAnsiTheme="minorHAnsi"/>
          <w:b/>
          <w:sz w:val="20"/>
          <w:lang w:val="en-GB"/>
        </w:rPr>
        <w:t xml:space="preserve">Grant and </w:t>
      </w:r>
      <w:r w:rsidR="00C94B81">
        <w:rPr>
          <w:rFonts w:asciiTheme="minorHAnsi" w:hAnsiTheme="minorHAnsi"/>
          <w:b/>
          <w:sz w:val="20"/>
          <w:lang w:val="en-GB"/>
        </w:rPr>
        <w:t>S</w:t>
      </w:r>
      <w:r w:rsidR="00930963" w:rsidRPr="00243C32">
        <w:rPr>
          <w:rFonts w:asciiTheme="minorHAnsi" w:hAnsiTheme="minorHAnsi"/>
          <w:b/>
          <w:sz w:val="20"/>
          <w:lang w:val="en-GB"/>
        </w:rPr>
        <w:t xml:space="preserve">ubvention </w:t>
      </w:r>
      <w:r w:rsidR="00C94B81">
        <w:rPr>
          <w:rFonts w:asciiTheme="minorHAnsi" w:hAnsiTheme="minorHAnsi"/>
          <w:b/>
          <w:sz w:val="20"/>
          <w:lang w:val="en-GB"/>
        </w:rPr>
        <w:t>R</w:t>
      </w:r>
      <w:r w:rsidR="00930963" w:rsidRPr="00243C32">
        <w:rPr>
          <w:rFonts w:asciiTheme="minorHAnsi" w:hAnsiTheme="minorHAnsi"/>
          <w:b/>
          <w:sz w:val="20"/>
          <w:lang w:val="en-GB"/>
        </w:rPr>
        <w:t xml:space="preserve">eceipts and </w:t>
      </w:r>
      <w:r w:rsidR="00C94B81">
        <w:rPr>
          <w:rFonts w:asciiTheme="minorHAnsi" w:hAnsiTheme="minorHAnsi"/>
          <w:b/>
          <w:sz w:val="20"/>
          <w:lang w:val="en-GB"/>
        </w:rPr>
        <w:t>B</w:t>
      </w:r>
      <w:r w:rsidR="00930963" w:rsidRPr="00243C32">
        <w:rPr>
          <w:rFonts w:asciiTheme="minorHAnsi" w:hAnsiTheme="minorHAnsi"/>
          <w:b/>
          <w:sz w:val="20"/>
          <w:lang w:val="en-GB"/>
        </w:rPr>
        <w:t>alances</w:t>
      </w:r>
      <w:r w:rsidR="003077A9">
        <w:rPr>
          <w:rFonts w:asciiTheme="minorHAnsi" w:hAnsiTheme="minorHAnsi"/>
          <w:b/>
          <w:sz w:val="20"/>
          <w:lang w:val="en-GB"/>
        </w:rPr>
        <w:t xml:space="preserve"> (M’000)</w:t>
      </w:r>
    </w:p>
    <w:p w14:paraId="519D8EB6" w14:textId="77777777" w:rsidR="00BA0FC5" w:rsidRDefault="00BA0FC5" w:rsidP="00CB1534">
      <w:pPr>
        <w:ind w:firstLine="426"/>
        <w:rPr>
          <w:rFonts w:asciiTheme="minorHAnsi" w:hAnsiTheme="minorHAnsi"/>
          <w:sz w:val="18"/>
          <w:szCs w:val="18"/>
          <w:lang w:val="en-GB"/>
        </w:rPr>
      </w:pPr>
    </w:p>
    <w:tbl>
      <w:tblPr>
        <w:tblW w:w="9000" w:type="dxa"/>
        <w:jc w:val="center"/>
        <w:tblLook w:val="04A0" w:firstRow="1" w:lastRow="0" w:firstColumn="1" w:lastColumn="0" w:noHBand="0" w:noVBand="1"/>
      </w:tblPr>
      <w:tblGrid>
        <w:gridCol w:w="1080"/>
        <w:gridCol w:w="1320"/>
        <w:gridCol w:w="1320"/>
        <w:gridCol w:w="1320"/>
        <w:gridCol w:w="1320"/>
        <w:gridCol w:w="1320"/>
        <w:gridCol w:w="1320"/>
      </w:tblGrid>
      <w:tr w:rsidR="003077A9" w:rsidRPr="007A0F4A" w14:paraId="4832D32A" w14:textId="77777777" w:rsidTr="007A0F4A">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B9406" w14:textId="77777777" w:rsidR="003077A9" w:rsidRPr="007A0F4A" w:rsidRDefault="003077A9" w:rsidP="007A0F4A">
            <w:pPr>
              <w:spacing w:before="40" w:after="40"/>
              <w:jc w:val="left"/>
              <w:rPr>
                <w:rFonts w:asciiTheme="minorHAnsi" w:hAnsiTheme="minorHAnsi"/>
                <w:color w:val="000000"/>
                <w:sz w:val="18"/>
                <w:szCs w:val="18"/>
                <w:lang w:val="en-GB"/>
              </w:rPr>
            </w:pPr>
            <w:r w:rsidRPr="007A0F4A">
              <w:rPr>
                <w:rFonts w:asciiTheme="minorHAnsi" w:hAnsiTheme="minorHAnsi"/>
                <w:color w:val="000000"/>
                <w:sz w:val="18"/>
                <w:szCs w:val="18"/>
                <w:lang w:val="en-GB"/>
              </w:rPr>
              <w:t> </w:t>
            </w:r>
          </w:p>
        </w:tc>
        <w:tc>
          <w:tcPr>
            <w:tcW w:w="2640" w:type="dxa"/>
            <w:gridSpan w:val="2"/>
            <w:tcBorders>
              <w:top w:val="single" w:sz="4" w:space="0" w:color="auto"/>
              <w:left w:val="nil"/>
              <w:bottom w:val="single" w:sz="4" w:space="0" w:color="auto"/>
              <w:right w:val="single" w:sz="4" w:space="0" w:color="auto"/>
            </w:tcBorders>
            <w:shd w:val="clear" w:color="auto" w:fill="auto"/>
            <w:vAlign w:val="center"/>
            <w:hideMark/>
          </w:tcPr>
          <w:p w14:paraId="351A6AB2" w14:textId="77777777" w:rsidR="003077A9" w:rsidRPr="007A0F4A" w:rsidRDefault="003077A9" w:rsidP="007A0F4A">
            <w:pPr>
              <w:spacing w:before="40" w:after="40"/>
              <w:jc w:val="center"/>
              <w:rPr>
                <w:rFonts w:asciiTheme="minorHAnsi" w:hAnsiTheme="minorHAnsi" w:cs="Arial"/>
                <w:b/>
                <w:bCs/>
                <w:color w:val="000000"/>
                <w:sz w:val="18"/>
                <w:szCs w:val="18"/>
                <w:lang w:val="en-GB"/>
              </w:rPr>
            </w:pPr>
            <w:r w:rsidRPr="007A0F4A">
              <w:rPr>
                <w:rFonts w:asciiTheme="minorHAnsi" w:hAnsiTheme="minorHAnsi" w:cs="Arial"/>
                <w:b/>
                <w:bCs/>
                <w:color w:val="000000"/>
                <w:sz w:val="18"/>
                <w:szCs w:val="18"/>
                <w:lang w:val="en-GB"/>
              </w:rPr>
              <w:t>2015/16</w:t>
            </w:r>
          </w:p>
        </w:tc>
        <w:tc>
          <w:tcPr>
            <w:tcW w:w="2640" w:type="dxa"/>
            <w:gridSpan w:val="2"/>
            <w:tcBorders>
              <w:top w:val="single" w:sz="4" w:space="0" w:color="auto"/>
              <w:left w:val="nil"/>
              <w:bottom w:val="single" w:sz="4" w:space="0" w:color="auto"/>
              <w:right w:val="single" w:sz="4" w:space="0" w:color="auto"/>
            </w:tcBorders>
            <w:shd w:val="clear" w:color="auto" w:fill="auto"/>
            <w:vAlign w:val="center"/>
            <w:hideMark/>
          </w:tcPr>
          <w:p w14:paraId="517BF133" w14:textId="77777777" w:rsidR="003077A9" w:rsidRPr="007A0F4A" w:rsidRDefault="003077A9" w:rsidP="007A0F4A">
            <w:pPr>
              <w:spacing w:before="40" w:after="40"/>
              <w:jc w:val="center"/>
              <w:rPr>
                <w:rFonts w:asciiTheme="minorHAnsi" w:hAnsiTheme="minorHAnsi" w:cs="Arial"/>
                <w:b/>
                <w:bCs/>
                <w:color w:val="000000"/>
                <w:sz w:val="18"/>
                <w:szCs w:val="18"/>
                <w:lang w:val="en-GB"/>
              </w:rPr>
            </w:pPr>
            <w:r w:rsidRPr="007A0F4A">
              <w:rPr>
                <w:rFonts w:asciiTheme="minorHAnsi" w:hAnsiTheme="minorHAnsi" w:cs="Arial"/>
                <w:b/>
                <w:bCs/>
                <w:color w:val="000000"/>
                <w:sz w:val="18"/>
                <w:szCs w:val="18"/>
                <w:lang w:val="en-GB"/>
              </w:rPr>
              <w:t>2016/17</w:t>
            </w:r>
          </w:p>
        </w:tc>
        <w:tc>
          <w:tcPr>
            <w:tcW w:w="2640" w:type="dxa"/>
            <w:gridSpan w:val="2"/>
            <w:tcBorders>
              <w:top w:val="single" w:sz="4" w:space="0" w:color="auto"/>
              <w:left w:val="nil"/>
              <w:bottom w:val="single" w:sz="4" w:space="0" w:color="auto"/>
              <w:right w:val="single" w:sz="4" w:space="0" w:color="auto"/>
            </w:tcBorders>
            <w:shd w:val="clear" w:color="auto" w:fill="auto"/>
            <w:vAlign w:val="center"/>
            <w:hideMark/>
          </w:tcPr>
          <w:p w14:paraId="1AE116C2" w14:textId="77777777" w:rsidR="003077A9" w:rsidRPr="007A0F4A" w:rsidRDefault="003077A9" w:rsidP="007A0F4A">
            <w:pPr>
              <w:spacing w:before="40" w:after="40"/>
              <w:jc w:val="center"/>
              <w:rPr>
                <w:rFonts w:asciiTheme="minorHAnsi" w:hAnsiTheme="minorHAnsi" w:cs="Arial"/>
                <w:b/>
                <w:bCs/>
                <w:color w:val="000000"/>
                <w:sz w:val="18"/>
                <w:szCs w:val="18"/>
                <w:lang w:val="en-GB"/>
              </w:rPr>
            </w:pPr>
            <w:r w:rsidRPr="007A0F4A">
              <w:rPr>
                <w:rFonts w:asciiTheme="minorHAnsi" w:hAnsiTheme="minorHAnsi" w:cs="Arial"/>
                <w:b/>
                <w:bCs/>
                <w:color w:val="000000"/>
                <w:sz w:val="18"/>
                <w:szCs w:val="18"/>
                <w:lang w:val="en-GB"/>
              </w:rPr>
              <w:t>2017/18</w:t>
            </w:r>
          </w:p>
        </w:tc>
      </w:tr>
      <w:tr w:rsidR="003077A9" w:rsidRPr="007A0F4A" w14:paraId="2F64BA3E" w14:textId="77777777" w:rsidTr="007A0F4A">
        <w:trPr>
          <w:trHeight w:val="72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0DBBF0F" w14:textId="77777777" w:rsidR="003077A9" w:rsidRPr="007A0F4A" w:rsidRDefault="003077A9" w:rsidP="007A0F4A">
            <w:pPr>
              <w:spacing w:before="40" w:after="40"/>
              <w:jc w:val="left"/>
              <w:rPr>
                <w:rFonts w:asciiTheme="minorHAnsi" w:hAnsiTheme="minorHAnsi"/>
                <w:b/>
                <w:bCs/>
                <w:color w:val="000000"/>
                <w:sz w:val="18"/>
                <w:szCs w:val="18"/>
                <w:lang w:val="en-GB"/>
              </w:rPr>
            </w:pPr>
            <w:r w:rsidRPr="007A0F4A">
              <w:rPr>
                <w:rFonts w:asciiTheme="minorHAnsi" w:hAnsiTheme="minorHAnsi"/>
                <w:b/>
                <w:bCs/>
                <w:color w:val="000000"/>
                <w:sz w:val="18"/>
                <w:szCs w:val="18"/>
                <w:lang w:val="en-GB"/>
              </w:rPr>
              <w:t> </w:t>
            </w:r>
          </w:p>
        </w:tc>
        <w:tc>
          <w:tcPr>
            <w:tcW w:w="1320" w:type="dxa"/>
            <w:tcBorders>
              <w:top w:val="nil"/>
              <w:left w:val="nil"/>
              <w:bottom w:val="single" w:sz="4" w:space="0" w:color="auto"/>
              <w:right w:val="single" w:sz="4" w:space="0" w:color="auto"/>
            </w:tcBorders>
            <w:shd w:val="clear" w:color="auto" w:fill="auto"/>
            <w:vAlign w:val="center"/>
            <w:hideMark/>
          </w:tcPr>
          <w:p w14:paraId="693D8341" w14:textId="77777777" w:rsidR="003077A9" w:rsidRPr="007A0F4A" w:rsidRDefault="003077A9" w:rsidP="007A0F4A">
            <w:pPr>
              <w:spacing w:before="40" w:after="40"/>
              <w:jc w:val="center"/>
              <w:rPr>
                <w:rFonts w:asciiTheme="minorHAnsi" w:hAnsiTheme="minorHAnsi" w:cs="Arial"/>
                <w:b/>
                <w:bCs/>
                <w:color w:val="000000"/>
                <w:sz w:val="18"/>
                <w:szCs w:val="18"/>
                <w:lang w:val="en-GB"/>
              </w:rPr>
            </w:pPr>
            <w:r w:rsidRPr="007A0F4A">
              <w:rPr>
                <w:rFonts w:asciiTheme="minorHAnsi" w:hAnsiTheme="minorHAnsi" w:cs="Arial"/>
                <w:b/>
                <w:bCs/>
                <w:color w:val="000000"/>
                <w:sz w:val="18"/>
                <w:szCs w:val="18"/>
                <w:lang w:val="en-GB"/>
              </w:rPr>
              <w:t>New Receipts in Year</w:t>
            </w:r>
          </w:p>
        </w:tc>
        <w:tc>
          <w:tcPr>
            <w:tcW w:w="1320" w:type="dxa"/>
            <w:tcBorders>
              <w:top w:val="nil"/>
              <w:left w:val="nil"/>
              <w:bottom w:val="single" w:sz="4" w:space="0" w:color="auto"/>
              <w:right w:val="single" w:sz="4" w:space="0" w:color="auto"/>
            </w:tcBorders>
            <w:shd w:val="clear" w:color="auto" w:fill="auto"/>
            <w:vAlign w:val="center"/>
            <w:hideMark/>
          </w:tcPr>
          <w:p w14:paraId="77E14886" w14:textId="77777777" w:rsidR="003077A9" w:rsidRPr="007A0F4A" w:rsidRDefault="003077A9" w:rsidP="007A0F4A">
            <w:pPr>
              <w:spacing w:before="40" w:after="40"/>
              <w:jc w:val="center"/>
              <w:rPr>
                <w:rFonts w:asciiTheme="minorHAnsi" w:hAnsiTheme="minorHAnsi" w:cs="Arial"/>
                <w:b/>
                <w:bCs/>
                <w:color w:val="000000"/>
                <w:sz w:val="18"/>
                <w:szCs w:val="18"/>
                <w:lang w:val="en-GB"/>
              </w:rPr>
            </w:pPr>
            <w:r w:rsidRPr="007A0F4A">
              <w:rPr>
                <w:rFonts w:asciiTheme="minorHAnsi" w:hAnsiTheme="minorHAnsi" w:cs="Arial"/>
                <w:b/>
                <w:bCs/>
                <w:color w:val="000000"/>
                <w:sz w:val="18"/>
                <w:szCs w:val="18"/>
                <w:lang w:val="en-GB"/>
              </w:rPr>
              <w:t>Balance</w:t>
            </w:r>
          </w:p>
        </w:tc>
        <w:tc>
          <w:tcPr>
            <w:tcW w:w="1320" w:type="dxa"/>
            <w:tcBorders>
              <w:top w:val="nil"/>
              <w:left w:val="nil"/>
              <w:bottom w:val="single" w:sz="4" w:space="0" w:color="auto"/>
              <w:right w:val="single" w:sz="4" w:space="0" w:color="auto"/>
            </w:tcBorders>
            <w:shd w:val="clear" w:color="auto" w:fill="auto"/>
            <w:vAlign w:val="center"/>
            <w:hideMark/>
          </w:tcPr>
          <w:p w14:paraId="18A83CCF" w14:textId="77777777" w:rsidR="003077A9" w:rsidRPr="007A0F4A" w:rsidRDefault="003077A9" w:rsidP="007A0F4A">
            <w:pPr>
              <w:spacing w:before="40" w:after="40"/>
              <w:jc w:val="center"/>
              <w:rPr>
                <w:rFonts w:asciiTheme="minorHAnsi" w:hAnsiTheme="minorHAnsi" w:cs="Arial"/>
                <w:b/>
                <w:bCs/>
                <w:color w:val="000000"/>
                <w:sz w:val="18"/>
                <w:szCs w:val="18"/>
                <w:lang w:val="en-GB"/>
              </w:rPr>
            </w:pPr>
            <w:r w:rsidRPr="007A0F4A">
              <w:rPr>
                <w:rFonts w:asciiTheme="minorHAnsi" w:hAnsiTheme="minorHAnsi" w:cs="Arial"/>
                <w:b/>
                <w:bCs/>
                <w:color w:val="000000"/>
                <w:sz w:val="18"/>
                <w:szCs w:val="18"/>
                <w:lang w:val="en-GB"/>
              </w:rPr>
              <w:t>New Receipts in Year</w:t>
            </w:r>
          </w:p>
        </w:tc>
        <w:tc>
          <w:tcPr>
            <w:tcW w:w="1320" w:type="dxa"/>
            <w:tcBorders>
              <w:top w:val="nil"/>
              <w:left w:val="nil"/>
              <w:bottom w:val="single" w:sz="4" w:space="0" w:color="auto"/>
              <w:right w:val="single" w:sz="4" w:space="0" w:color="auto"/>
            </w:tcBorders>
            <w:shd w:val="clear" w:color="auto" w:fill="auto"/>
            <w:noWrap/>
            <w:vAlign w:val="center"/>
            <w:hideMark/>
          </w:tcPr>
          <w:p w14:paraId="09319C0E" w14:textId="77777777" w:rsidR="003077A9" w:rsidRPr="007A0F4A" w:rsidRDefault="003077A9" w:rsidP="007A0F4A">
            <w:pPr>
              <w:spacing w:before="40" w:after="40"/>
              <w:jc w:val="center"/>
              <w:rPr>
                <w:rFonts w:asciiTheme="minorHAnsi" w:hAnsiTheme="minorHAnsi" w:cs="Arial"/>
                <w:b/>
                <w:bCs/>
                <w:color w:val="000000"/>
                <w:sz w:val="18"/>
                <w:szCs w:val="18"/>
                <w:lang w:val="en-GB"/>
              </w:rPr>
            </w:pPr>
            <w:r w:rsidRPr="007A0F4A">
              <w:rPr>
                <w:rFonts w:asciiTheme="minorHAnsi" w:hAnsiTheme="minorHAnsi" w:cs="Arial"/>
                <w:b/>
                <w:bCs/>
                <w:color w:val="000000"/>
                <w:sz w:val="18"/>
                <w:szCs w:val="18"/>
                <w:lang w:val="en-GB"/>
              </w:rPr>
              <w:t>Balance</w:t>
            </w:r>
          </w:p>
        </w:tc>
        <w:tc>
          <w:tcPr>
            <w:tcW w:w="1320" w:type="dxa"/>
            <w:tcBorders>
              <w:top w:val="nil"/>
              <w:left w:val="nil"/>
              <w:bottom w:val="single" w:sz="4" w:space="0" w:color="auto"/>
              <w:right w:val="single" w:sz="4" w:space="0" w:color="auto"/>
            </w:tcBorders>
            <w:shd w:val="clear" w:color="auto" w:fill="auto"/>
            <w:vAlign w:val="center"/>
            <w:hideMark/>
          </w:tcPr>
          <w:p w14:paraId="4F3C8A2B" w14:textId="77777777" w:rsidR="003077A9" w:rsidRPr="007A0F4A" w:rsidRDefault="003077A9" w:rsidP="007A0F4A">
            <w:pPr>
              <w:spacing w:before="40" w:after="40"/>
              <w:jc w:val="center"/>
              <w:rPr>
                <w:rFonts w:asciiTheme="minorHAnsi" w:hAnsiTheme="minorHAnsi" w:cs="Arial"/>
                <w:b/>
                <w:bCs/>
                <w:color w:val="000000"/>
                <w:sz w:val="18"/>
                <w:szCs w:val="18"/>
                <w:lang w:val="en-GB"/>
              </w:rPr>
            </w:pPr>
            <w:r w:rsidRPr="007A0F4A">
              <w:rPr>
                <w:rFonts w:asciiTheme="minorHAnsi" w:hAnsiTheme="minorHAnsi" w:cs="Arial"/>
                <w:b/>
                <w:bCs/>
                <w:color w:val="000000"/>
                <w:sz w:val="18"/>
                <w:szCs w:val="18"/>
                <w:lang w:val="en-GB"/>
              </w:rPr>
              <w:t>New Receipts in Year</w:t>
            </w:r>
          </w:p>
        </w:tc>
        <w:tc>
          <w:tcPr>
            <w:tcW w:w="1320" w:type="dxa"/>
            <w:tcBorders>
              <w:top w:val="nil"/>
              <w:left w:val="nil"/>
              <w:bottom w:val="single" w:sz="4" w:space="0" w:color="auto"/>
              <w:right w:val="single" w:sz="4" w:space="0" w:color="auto"/>
            </w:tcBorders>
            <w:shd w:val="clear" w:color="auto" w:fill="auto"/>
            <w:noWrap/>
            <w:vAlign w:val="center"/>
            <w:hideMark/>
          </w:tcPr>
          <w:p w14:paraId="608D7F97" w14:textId="77777777" w:rsidR="003077A9" w:rsidRPr="007A0F4A" w:rsidRDefault="003077A9" w:rsidP="007A0F4A">
            <w:pPr>
              <w:spacing w:before="40" w:after="40"/>
              <w:jc w:val="center"/>
              <w:rPr>
                <w:rFonts w:asciiTheme="minorHAnsi" w:hAnsiTheme="minorHAnsi" w:cs="Arial"/>
                <w:b/>
                <w:bCs/>
                <w:color w:val="000000"/>
                <w:sz w:val="18"/>
                <w:szCs w:val="18"/>
                <w:lang w:val="en-GB"/>
              </w:rPr>
            </w:pPr>
            <w:r w:rsidRPr="007A0F4A">
              <w:rPr>
                <w:rFonts w:asciiTheme="minorHAnsi" w:hAnsiTheme="minorHAnsi" w:cs="Arial"/>
                <w:b/>
                <w:bCs/>
                <w:color w:val="000000"/>
                <w:sz w:val="18"/>
                <w:szCs w:val="18"/>
                <w:lang w:val="en-GB"/>
              </w:rPr>
              <w:t>Balance</w:t>
            </w:r>
          </w:p>
        </w:tc>
      </w:tr>
      <w:tr w:rsidR="003077A9" w:rsidRPr="007A0F4A" w14:paraId="44842258" w14:textId="77777777" w:rsidTr="007A0F4A">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649B610" w14:textId="77777777" w:rsidR="003077A9" w:rsidRPr="007A0F4A" w:rsidRDefault="003077A9" w:rsidP="007A0F4A">
            <w:pPr>
              <w:spacing w:before="40" w:after="40"/>
              <w:jc w:val="left"/>
              <w:rPr>
                <w:rFonts w:asciiTheme="minorHAnsi" w:hAnsiTheme="minorHAnsi"/>
                <w:b/>
                <w:bCs/>
                <w:color w:val="000000"/>
                <w:sz w:val="18"/>
                <w:szCs w:val="18"/>
                <w:lang w:val="en-GB"/>
              </w:rPr>
            </w:pPr>
            <w:r w:rsidRPr="007A0F4A">
              <w:rPr>
                <w:rFonts w:asciiTheme="minorHAnsi" w:hAnsiTheme="minorHAnsi"/>
                <w:b/>
                <w:bCs/>
                <w:color w:val="000000"/>
                <w:sz w:val="18"/>
                <w:szCs w:val="18"/>
                <w:lang w:val="en-GB"/>
              </w:rPr>
              <w:t>LEC</w:t>
            </w:r>
          </w:p>
        </w:tc>
        <w:tc>
          <w:tcPr>
            <w:tcW w:w="1320" w:type="dxa"/>
            <w:tcBorders>
              <w:top w:val="nil"/>
              <w:left w:val="nil"/>
              <w:bottom w:val="single" w:sz="4" w:space="0" w:color="auto"/>
              <w:right w:val="single" w:sz="4" w:space="0" w:color="auto"/>
            </w:tcBorders>
            <w:shd w:val="clear" w:color="auto" w:fill="auto"/>
            <w:vAlign w:val="center"/>
            <w:hideMark/>
          </w:tcPr>
          <w:p w14:paraId="14DA5FFA"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108,541</w:t>
            </w:r>
          </w:p>
        </w:tc>
        <w:tc>
          <w:tcPr>
            <w:tcW w:w="1320" w:type="dxa"/>
            <w:tcBorders>
              <w:top w:val="nil"/>
              <w:left w:val="nil"/>
              <w:bottom w:val="single" w:sz="4" w:space="0" w:color="auto"/>
              <w:right w:val="single" w:sz="4" w:space="0" w:color="auto"/>
            </w:tcBorders>
            <w:shd w:val="clear" w:color="auto" w:fill="auto"/>
            <w:vAlign w:val="center"/>
            <w:hideMark/>
          </w:tcPr>
          <w:p w14:paraId="18A0BD55"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46,208</w:t>
            </w:r>
          </w:p>
        </w:tc>
        <w:tc>
          <w:tcPr>
            <w:tcW w:w="1320" w:type="dxa"/>
            <w:tcBorders>
              <w:top w:val="nil"/>
              <w:left w:val="nil"/>
              <w:bottom w:val="single" w:sz="4" w:space="0" w:color="auto"/>
              <w:right w:val="single" w:sz="4" w:space="0" w:color="auto"/>
            </w:tcBorders>
            <w:shd w:val="clear" w:color="auto" w:fill="auto"/>
            <w:vAlign w:val="center"/>
            <w:hideMark/>
          </w:tcPr>
          <w:p w14:paraId="698C329A"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242,638</w:t>
            </w:r>
          </w:p>
        </w:tc>
        <w:tc>
          <w:tcPr>
            <w:tcW w:w="1320" w:type="dxa"/>
            <w:tcBorders>
              <w:top w:val="nil"/>
              <w:left w:val="nil"/>
              <w:bottom w:val="single" w:sz="4" w:space="0" w:color="auto"/>
              <w:right w:val="single" w:sz="4" w:space="0" w:color="auto"/>
            </w:tcBorders>
            <w:shd w:val="clear" w:color="auto" w:fill="auto"/>
            <w:noWrap/>
            <w:vAlign w:val="center"/>
            <w:hideMark/>
          </w:tcPr>
          <w:p w14:paraId="427E3E26"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702,671</w:t>
            </w:r>
          </w:p>
        </w:tc>
        <w:tc>
          <w:tcPr>
            <w:tcW w:w="1320" w:type="dxa"/>
            <w:tcBorders>
              <w:top w:val="nil"/>
              <w:left w:val="nil"/>
              <w:bottom w:val="single" w:sz="4" w:space="0" w:color="auto"/>
              <w:right w:val="single" w:sz="4" w:space="0" w:color="auto"/>
            </w:tcBorders>
            <w:shd w:val="clear" w:color="auto" w:fill="auto"/>
            <w:vAlign w:val="center"/>
            <w:hideMark/>
          </w:tcPr>
          <w:p w14:paraId="0023097B"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168,527</w:t>
            </w:r>
          </w:p>
        </w:tc>
        <w:tc>
          <w:tcPr>
            <w:tcW w:w="1320" w:type="dxa"/>
            <w:tcBorders>
              <w:top w:val="nil"/>
              <w:left w:val="nil"/>
              <w:bottom w:val="single" w:sz="4" w:space="0" w:color="auto"/>
              <w:right w:val="single" w:sz="4" w:space="0" w:color="auto"/>
            </w:tcBorders>
            <w:shd w:val="clear" w:color="auto" w:fill="auto"/>
            <w:vAlign w:val="center"/>
            <w:hideMark/>
          </w:tcPr>
          <w:p w14:paraId="5B2F66B5"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574,641</w:t>
            </w:r>
          </w:p>
        </w:tc>
      </w:tr>
      <w:tr w:rsidR="003077A9" w:rsidRPr="007A0F4A" w14:paraId="7B15CE61" w14:textId="77777777" w:rsidTr="007A0F4A">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C26641C" w14:textId="77777777" w:rsidR="003077A9" w:rsidRPr="007A0F4A" w:rsidRDefault="003077A9" w:rsidP="007A0F4A">
            <w:pPr>
              <w:spacing w:before="40" w:after="40"/>
              <w:jc w:val="left"/>
              <w:rPr>
                <w:rFonts w:asciiTheme="minorHAnsi" w:hAnsiTheme="minorHAnsi"/>
                <w:b/>
                <w:bCs/>
                <w:color w:val="000000"/>
                <w:sz w:val="18"/>
                <w:szCs w:val="18"/>
                <w:lang w:val="en-GB"/>
              </w:rPr>
            </w:pPr>
            <w:r w:rsidRPr="007A0F4A">
              <w:rPr>
                <w:rFonts w:asciiTheme="minorHAnsi" w:hAnsiTheme="minorHAnsi"/>
                <w:b/>
                <w:bCs/>
                <w:color w:val="000000"/>
                <w:sz w:val="18"/>
                <w:szCs w:val="18"/>
                <w:lang w:val="en-GB"/>
              </w:rPr>
              <w:t>WASCO</w:t>
            </w:r>
          </w:p>
        </w:tc>
        <w:tc>
          <w:tcPr>
            <w:tcW w:w="1320" w:type="dxa"/>
            <w:tcBorders>
              <w:top w:val="nil"/>
              <w:left w:val="nil"/>
              <w:bottom w:val="single" w:sz="4" w:space="0" w:color="auto"/>
              <w:right w:val="single" w:sz="4" w:space="0" w:color="auto"/>
            </w:tcBorders>
            <w:shd w:val="clear" w:color="auto" w:fill="auto"/>
            <w:vAlign w:val="center"/>
            <w:hideMark/>
          </w:tcPr>
          <w:p w14:paraId="07DB4D5C"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95,812</w:t>
            </w:r>
          </w:p>
        </w:tc>
        <w:tc>
          <w:tcPr>
            <w:tcW w:w="1320" w:type="dxa"/>
            <w:tcBorders>
              <w:top w:val="nil"/>
              <w:left w:val="nil"/>
              <w:bottom w:val="single" w:sz="4" w:space="0" w:color="auto"/>
              <w:right w:val="single" w:sz="4" w:space="0" w:color="auto"/>
            </w:tcBorders>
            <w:shd w:val="clear" w:color="auto" w:fill="auto"/>
            <w:vAlign w:val="center"/>
            <w:hideMark/>
          </w:tcPr>
          <w:p w14:paraId="033364F8"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1,225,434</w:t>
            </w:r>
          </w:p>
        </w:tc>
        <w:tc>
          <w:tcPr>
            <w:tcW w:w="1320" w:type="dxa"/>
            <w:tcBorders>
              <w:top w:val="nil"/>
              <w:left w:val="nil"/>
              <w:bottom w:val="single" w:sz="4" w:space="0" w:color="auto"/>
              <w:right w:val="single" w:sz="4" w:space="0" w:color="auto"/>
            </w:tcBorders>
            <w:shd w:val="clear" w:color="auto" w:fill="auto"/>
            <w:vAlign w:val="center"/>
            <w:hideMark/>
          </w:tcPr>
          <w:p w14:paraId="65B52774"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105,828</w:t>
            </w:r>
          </w:p>
        </w:tc>
        <w:tc>
          <w:tcPr>
            <w:tcW w:w="1320" w:type="dxa"/>
            <w:tcBorders>
              <w:top w:val="nil"/>
              <w:left w:val="nil"/>
              <w:bottom w:val="single" w:sz="4" w:space="0" w:color="auto"/>
              <w:right w:val="single" w:sz="4" w:space="0" w:color="auto"/>
            </w:tcBorders>
            <w:shd w:val="clear" w:color="auto" w:fill="auto"/>
            <w:noWrap/>
            <w:vAlign w:val="center"/>
            <w:hideMark/>
          </w:tcPr>
          <w:p w14:paraId="71B7712B"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1,288,022</w:t>
            </w:r>
          </w:p>
        </w:tc>
        <w:tc>
          <w:tcPr>
            <w:tcW w:w="1320" w:type="dxa"/>
            <w:tcBorders>
              <w:top w:val="nil"/>
              <w:left w:val="nil"/>
              <w:bottom w:val="single" w:sz="4" w:space="0" w:color="auto"/>
              <w:right w:val="single" w:sz="4" w:space="0" w:color="auto"/>
            </w:tcBorders>
            <w:shd w:val="clear" w:color="auto" w:fill="auto"/>
            <w:vAlign w:val="center"/>
            <w:hideMark/>
          </w:tcPr>
          <w:p w14:paraId="257D8246"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60,280</w:t>
            </w:r>
          </w:p>
        </w:tc>
        <w:tc>
          <w:tcPr>
            <w:tcW w:w="1320" w:type="dxa"/>
            <w:tcBorders>
              <w:top w:val="nil"/>
              <w:left w:val="nil"/>
              <w:bottom w:val="single" w:sz="4" w:space="0" w:color="auto"/>
              <w:right w:val="single" w:sz="4" w:space="0" w:color="auto"/>
            </w:tcBorders>
            <w:shd w:val="clear" w:color="auto" w:fill="auto"/>
            <w:vAlign w:val="center"/>
            <w:hideMark/>
          </w:tcPr>
          <w:p w14:paraId="5AFB7073"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1,307,836</w:t>
            </w:r>
          </w:p>
        </w:tc>
      </w:tr>
      <w:tr w:rsidR="003077A9" w:rsidRPr="007A0F4A" w14:paraId="3632D208" w14:textId="77777777" w:rsidTr="007A0F4A">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E9B60F1" w14:textId="77777777" w:rsidR="003077A9" w:rsidRPr="007A0F4A" w:rsidRDefault="003077A9" w:rsidP="007A0F4A">
            <w:pPr>
              <w:spacing w:before="40" w:after="40"/>
              <w:jc w:val="left"/>
              <w:rPr>
                <w:rFonts w:asciiTheme="minorHAnsi" w:hAnsiTheme="minorHAnsi"/>
                <w:b/>
                <w:bCs/>
                <w:color w:val="000000"/>
                <w:sz w:val="18"/>
                <w:szCs w:val="18"/>
                <w:lang w:val="en-GB"/>
              </w:rPr>
            </w:pPr>
            <w:r w:rsidRPr="007A0F4A">
              <w:rPr>
                <w:rFonts w:asciiTheme="minorHAnsi" w:hAnsiTheme="minorHAnsi"/>
                <w:b/>
                <w:bCs/>
                <w:color w:val="000000"/>
                <w:sz w:val="18"/>
                <w:szCs w:val="18"/>
                <w:lang w:val="en-GB"/>
              </w:rPr>
              <w:t>LTDC</w:t>
            </w:r>
          </w:p>
        </w:tc>
        <w:tc>
          <w:tcPr>
            <w:tcW w:w="1320" w:type="dxa"/>
            <w:tcBorders>
              <w:top w:val="nil"/>
              <w:left w:val="nil"/>
              <w:bottom w:val="single" w:sz="4" w:space="0" w:color="auto"/>
              <w:right w:val="single" w:sz="4" w:space="0" w:color="auto"/>
            </w:tcBorders>
            <w:shd w:val="clear" w:color="auto" w:fill="auto"/>
            <w:vAlign w:val="center"/>
            <w:hideMark/>
          </w:tcPr>
          <w:p w14:paraId="79E2C135"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20,750</w:t>
            </w:r>
          </w:p>
        </w:tc>
        <w:tc>
          <w:tcPr>
            <w:tcW w:w="1320" w:type="dxa"/>
            <w:tcBorders>
              <w:top w:val="nil"/>
              <w:left w:val="nil"/>
              <w:bottom w:val="single" w:sz="4" w:space="0" w:color="auto"/>
              <w:right w:val="single" w:sz="4" w:space="0" w:color="auto"/>
            </w:tcBorders>
            <w:shd w:val="clear" w:color="auto" w:fill="auto"/>
            <w:vAlign w:val="center"/>
            <w:hideMark/>
          </w:tcPr>
          <w:p w14:paraId="0B1B0F49"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549</w:t>
            </w:r>
          </w:p>
        </w:tc>
        <w:tc>
          <w:tcPr>
            <w:tcW w:w="1320" w:type="dxa"/>
            <w:tcBorders>
              <w:top w:val="nil"/>
              <w:left w:val="nil"/>
              <w:bottom w:val="single" w:sz="4" w:space="0" w:color="auto"/>
              <w:right w:val="single" w:sz="4" w:space="0" w:color="auto"/>
            </w:tcBorders>
            <w:shd w:val="clear" w:color="auto" w:fill="auto"/>
            <w:vAlign w:val="center"/>
            <w:hideMark/>
          </w:tcPr>
          <w:p w14:paraId="28260EE8"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17,941</w:t>
            </w:r>
          </w:p>
        </w:tc>
        <w:tc>
          <w:tcPr>
            <w:tcW w:w="1320" w:type="dxa"/>
            <w:tcBorders>
              <w:top w:val="nil"/>
              <w:left w:val="nil"/>
              <w:bottom w:val="single" w:sz="4" w:space="0" w:color="auto"/>
              <w:right w:val="single" w:sz="4" w:space="0" w:color="auto"/>
            </w:tcBorders>
            <w:shd w:val="clear" w:color="auto" w:fill="auto"/>
            <w:noWrap/>
            <w:vAlign w:val="center"/>
            <w:hideMark/>
          </w:tcPr>
          <w:p w14:paraId="57169446"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529</w:t>
            </w:r>
          </w:p>
        </w:tc>
        <w:tc>
          <w:tcPr>
            <w:tcW w:w="1320" w:type="dxa"/>
            <w:tcBorders>
              <w:top w:val="nil"/>
              <w:left w:val="nil"/>
              <w:bottom w:val="single" w:sz="4" w:space="0" w:color="auto"/>
              <w:right w:val="single" w:sz="4" w:space="0" w:color="auto"/>
            </w:tcBorders>
            <w:shd w:val="clear" w:color="auto" w:fill="auto"/>
            <w:vAlign w:val="center"/>
            <w:hideMark/>
          </w:tcPr>
          <w:p w14:paraId="184331E6"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19,500</w:t>
            </w:r>
          </w:p>
        </w:tc>
        <w:tc>
          <w:tcPr>
            <w:tcW w:w="1320" w:type="dxa"/>
            <w:tcBorders>
              <w:top w:val="nil"/>
              <w:left w:val="nil"/>
              <w:bottom w:val="single" w:sz="4" w:space="0" w:color="auto"/>
              <w:right w:val="single" w:sz="4" w:space="0" w:color="auto"/>
            </w:tcBorders>
            <w:shd w:val="clear" w:color="auto" w:fill="auto"/>
            <w:vAlign w:val="center"/>
            <w:hideMark/>
          </w:tcPr>
          <w:p w14:paraId="64DE10AE"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549</w:t>
            </w:r>
          </w:p>
        </w:tc>
      </w:tr>
      <w:tr w:rsidR="003077A9" w:rsidRPr="007A0F4A" w14:paraId="4596F8FE" w14:textId="77777777" w:rsidTr="007A0F4A">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6B0492F" w14:textId="77777777" w:rsidR="003077A9" w:rsidRPr="007A0F4A" w:rsidRDefault="003077A9" w:rsidP="007A0F4A">
            <w:pPr>
              <w:spacing w:before="40" w:after="40"/>
              <w:jc w:val="left"/>
              <w:rPr>
                <w:rFonts w:asciiTheme="minorHAnsi" w:hAnsiTheme="minorHAnsi"/>
                <w:b/>
                <w:bCs/>
                <w:color w:val="000000"/>
                <w:sz w:val="18"/>
                <w:szCs w:val="18"/>
                <w:lang w:val="en-GB"/>
              </w:rPr>
            </w:pPr>
            <w:r w:rsidRPr="007A0F4A">
              <w:rPr>
                <w:rFonts w:asciiTheme="minorHAnsi" w:hAnsiTheme="minorHAnsi"/>
                <w:b/>
                <w:bCs/>
                <w:color w:val="000000"/>
                <w:sz w:val="18"/>
                <w:szCs w:val="18"/>
                <w:lang w:val="en-GB"/>
              </w:rPr>
              <w:t>LPB</w:t>
            </w:r>
          </w:p>
        </w:tc>
        <w:tc>
          <w:tcPr>
            <w:tcW w:w="1320" w:type="dxa"/>
            <w:tcBorders>
              <w:top w:val="nil"/>
              <w:left w:val="nil"/>
              <w:bottom w:val="single" w:sz="4" w:space="0" w:color="auto"/>
              <w:right w:val="single" w:sz="4" w:space="0" w:color="auto"/>
            </w:tcBorders>
            <w:shd w:val="clear" w:color="auto" w:fill="auto"/>
            <w:vAlign w:val="center"/>
            <w:hideMark/>
          </w:tcPr>
          <w:p w14:paraId="43F46677"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17,663</w:t>
            </w:r>
          </w:p>
        </w:tc>
        <w:tc>
          <w:tcPr>
            <w:tcW w:w="1320" w:type="dxa"/>
            <w:tcBorders>
              <w:top w:val="nil"/>
              <w:left w:val="nil"/>
              <w:bottom w:val="single" w:sz="4" w:space="0" w:color="auto"/>
              <w:right w:val="single" w:sz="4" w:space="0" w:color="auto"/>
            </w:tcBorders>
            <w:shd w:val="clear" w:color="auto" w:fill="auto"/>
            <w:vAlign w:val="center"/>
            <w:hideMark/>
          </w:tcPr>
          <w:p w14:paraId="120BCDA2"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43,909</w:t>
            </w:r>
          </w:p>
        </w:tc>
        <w:tc>
          <w:tcPr>
            <w:tcW w:w="1320" w:type="dxa"/>
            <w:tcBorders>
              <w:top w:val="nil"/>
              <w:left w:val="nil"/>
              <w:bottom w:val="single" w:sz="4" w:space="0" w:color="auto"/>
              <w:right w:val="single" w:sz="4" w:space="0" w:color="auto"/>
            </w:tcBorders>
            <w:shd w:val="clear" w:color="auto" w:fill="auto"/>
            <w:vAlign w:val="center"/>
            <w:hideMark/>
          </w:tcPr>
          <w:p w14:paraId="69DC70A1"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53,000</w:t>
            </w:r>
          </w:p>
        </w:tc>
        <w:tc>
          <w:tcPr>
            <w:tcW w:w="1320" w:type="dxa"/>
            <w:tcBorders>
              <w:top w:val="nil"/>
              <w:left w:val="nil"/>
              <w:bottom w:val="single" w:sz="4" w:space="0" w:color="auto"/>
              <w:right w:val="single" w:sz="4" w:space="0" w:color="auto"/>
            </w:tcBorders>
            <w:shd w:val="clear" w:color="auto" w:fill="auto"/>
            <w:noWrap/>
            <w:vAlign w:val="center"/>
            <w:hideMark/>
          </w:tcPr>
          <w:p w14:paraId="48D9B3D8"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93,528</w:t>
            </w:r>
          </w:p>
        </w:tc>
        <w:tc>
          <w:tcPr>
            <w:tcW w:w="1320" w:type="dxa"/>
            <w:tcBorders>
              <w:top w:val="nil"/>
              <w:left w:val="nil"/>
              <w:bottom w:val="single" w:sz="4" w:space="0" w:color="auto"/>
              <w:right w:val="single" w:sz="4" w:space="0" w:color="auto"/>
            </w:tcBorders>
            <w:shd w:val="clear" w:color="auto" w:fill="auto"/>
            <w:vAlign w:val="center"/>
            <w:hideMark/>
          </w:tcPr>
          <w:p w14:paraId="62D539C3"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35,000</w:t>
            </w:r>
          </w:p>
        </w:tc>
        <w:tc>
          <w:tcPr>
            <w:tcW w:w="1320" w:type="dxa"/>
            <w:tcBorders>
              <w:top w:val="nil"/>
              <w:left w:val="nil"/>
              <w:bottom w:val="single" w:sz="4" w:space="0" w:color="auto"/>
              <w:right w:val="single" w:sz="4" w:space="0" w:color="auto"/>
            </w:tcBorders>
            <w:shd w:val="clear" w:color="auto" w:fill="auto"/>
            <w:vAlign w:val="center"/>
            <w:hideMark/>
          </w:tcPr>
          <w:p w14:paraId="2915D4F1"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114,684</w:t>
            </w:r>
          </w:p>
        </w:tc>
      </w:tr>
      <w:tr w:rsidR="003077A9" w:rsidRPr="007A0F4A" w14:paraId="7AF10B11" w14:textId="77777777" w:rsidTr="007A0F4A">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BDB0123" w14:textId="77777777" w:rsidR="003077A9" w:rsidRPr="007A0F4A" w:rsidRDefault="003077A9" w:rsidP="007A0F4A">
            <w:pPr>
              <w:spacing w:before="40" w:after="40"/>
              <w:jc w:val="left"/>
              <w:rPr>
                <w:rFonts w:asciiTheme="minorHAnsi" w:hAnsiTheme="minorHAnsi"/>
                <w:b/>
                <w:bCs/>
                <w:color w:val="000000"/>
                <w:sz w:val="18"/>
                <w:szCs w:val="18"/>
                <w:lang w:val="en-GB"/>
              </w:rPr>
            </w:pPr>
            <w:r w:rsidRPr="007A0F4A">
              <w:rPr>
                <w:rFonts w:asciiTheme="minorHAnsi" w:hAnsiTheme="minorHAnsi"/>
                <w:b/>
                <w:bCs/>
                <w:color w:val="000000"/>
                <w:sz w:val="18"/>
                <w:szCs w:val="18"/>
                <w:lang w:val="en-GB"/>
              </w:rPr>
              <w:t>BEDCO</w:t>
            </w:r>
          </w:p>
        </w:tc>
        <w:tc>
          <w:tcPr>
            <w:tcW w:w="1320" w:type="dxa"/>
            <w:tcBorders>
              <w:top w:val="nil"/>
              <w:left w:val="nil"/>
              <w:bottom w:val="single" w:sz="4" w:space="0" w:color="auto"/>
              <w:right w:val="single" w:sz="4" w:space="0" w:color="auto"/>
            </w:tcBorders>
            <w:shd w:val="clear" w:color="auto" w:fill="auto"/>
            <w:vAlign w:val="center"/>
            <w:hideMark/>
          </w:tcPr>
          <w:p w14:paraId="2BC785E4"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14,000</w:t>
            </w:r>
          </w:p>
        </w:tc>
        <w:tc>
          <w:tcPr>
            <w:tcW w:w="1320" w:type="dxa"/>
            <w:tcBorders>
              <w:top w:val="nil"/>
              <w:left w:val="nil"/>
              <w:bottom w:val="single" w:sz="4" w:space="0" w:color="auto"/>
              <w:right w:val="single" w:sz="4" w:space="0" w:color="auto"/>
            </w:tcBorders>
            <w:shd w:val="clear" w:color="auto" w:fill="auto"/>
            <w:vAlign w:val="center"/>
            <w:hideMark/>
          </w:tcPr>
          <w:p w14:paraId="20683E11"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17,451</w:t>
            </w:r>
          </w:p>
        </w:tc>
        <w:tc>
          <w:tcPr>
            <w:tcW w:w="1320" w:type="dxa"/>
            <w:tcBorders>
              <w:top w:val="nil"/>
              <w:left w:val="nil"/>
              <w:bottom w:val="single" w:sz="4" w:space="0" w:color="auto"/>
              <w:right w:val="single" w:sz="4" w:space="0" w:color="auto"/>
            </w:tcBorders>
            <w:shd w:val="clear" w:color="auto" w:fill="auto"/>
            <w:vAlign w:val="center"/>
            <w:hideMark/>
          </w:tcPr>
          <w:p w14:paraId="5A21DB88" w14:textId="77777777" w:rsidR="003077A9" w:rsidRPr="007A0F4A" w:rsidRDefault="003077A9" w:rsidP="007A0F4A">
            <w:pPr>
              <w:spacing w:before="40" w:after="40"/>
              <w:jc w:val="center"/>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 </w:t>
            </w:r>
          </w:p>
        </w:tc>
        <w:tc>
          <w:tcPr>
            <w:tcW w:w="1320" w:type="dxa"/>
            <w:tcBorders>
              <w:top w:val="nil"/>
              <w:left w:val="nil"/>
              <w:bottom w:val="single" w:sz="4" w:space="0" w:color="auto"/>
              <w:right w:val="single" w:sz="4" w:space="0" w:color="auto"/>
            </w:tcBorders>
            <w:shd w:val="clear" w:color="auto" w:fill="auto"/>
            <w:noWrap/>
            <w:vAlign w:val="center"/>
            <w:hideMark/>
          </w:tcPr>
          <w:p w14:paraId="5FEFC393"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 </w:t>
            </w:r>
          </w:p>
        </w:tc>
        <w:tc>
          <w:tcPr>
            <w:tcW w:w="2640" w:type="dxa"/>
            <w:gridSpan w:val="2"/>
            <w:tcBorders>
              <w:top w:val="single" w:sz="4" w:space="0" w:color="auto"/>
              <w:left w:val="nil"/>
              <w:bottom w:val="single" w:sz="4" w:space="0" w:color="auto"/>
              <w:right w:val="single" w:sz="4" w:space="0" w:color="auto"/>
            </w:tcBorders>
            <w:shd w:val="clear" w:color="auto" w:fill="auto"/>
            <w:vAlign w:val="center"/>
            <w:hideMark/>
          </w:tcPr>
          <w:p w14:paraId="0C2ED012" w14:textId="77777777" w:rsidR="003077A9" w:rsidRPr="007A0F4A" w:rsidRDefault="003077A9" w:rsidP="007A0F4A">
            <w:pPr>
              <w:spacing w:before="40" w:after="40"/>
              <w:jc w:val="center"/>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 </w:t>
            </w:r>
          </w:p>
        </w:tc>
      </w:tr>
      <w:tr w:rsidR="003077A9" w:rsidRPr="007A0F4A" w14:paraId="58DB8905" w14:textId="77777777" w:rsidTr="007A0F4A">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C4284CA" w14:textId="77777777" w:rsidR="003077A9" w:rsidRPr="007A0F4A" w:rsidRDefault="003077A9" w:rsidP="007A0F4A">
            <w:pPr>
              <w:spacing w:before="40" w:after="40"/>
              <w:jc w:val="left"/>
              <w:rPr>
                <w:rFonts w:asciiTheme="minorHAnsi" w:hAnsiTheme="minorHAnsi"/>
                <w:b/>
                <w:bCs/>
                <w:color w:val="000000"/>
                <w:sz w:val="18"/>
                <w:szCs w:val="18"/>
                <w:lang w:val="en-GB"/>
              </w:rPr>
            </w:pPr>
            <w:r w:rsidRPr="007A0F4A">
              <w:rPr>
                <w:rFonts w:asciiTheme="minorHAnsi" w:hAnsiTheme="minorHAnsi"/>
                <w:b/>
                <w:bCs/>
                <w:color w:val="000000"/>
                <w:sz w:val="18"/>
                <w:szCs w:val="18"/>
                <w:lang w:val="en-GB"/>
              </w:rPr>
              <w:t>LNDC</w:t>
            </w:r>
          </w:p>
        </w:tc>
        <w:tc>
          <w:tcPr>
            <w:tcW w:w="1320" w:type="dxa"/>
            <w:tcBorders>
              <w:top w:val="nil"/>
              <w:left w:val="nil"/>
              <w:bottom w:val="single" w:sz="4" w:space="0" w:color="auto"/>
              <w:right w:val="single" w:sz="4" w:space="0" w:color="auto"/>
            </w:tcBorders>
            <w:shd w:val="clear" w:color="auto" w:fill="auto"/>
            <w:vAlign w:val="center"/>
            <w:hideMark/>
          </w:tcPr>
          <w:p w14:paraId="6EECE55D"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77,016</w:t>
            </w:r>
          </w:p>
        </w:tc>
        <w:tc>
          <w:tcPr>
            <w:tcW w:w="1320" w:type="dxa"/>
            <w:tcBorders>
              <w:top w:val="nil"/>
              <w:left w:val="nil"/>
              <w:bottom w:val="single" w:sz="4" w:space="0" w:color="auto"/>
              <w:right w:val="single" w:sz="4" w:space="0" w:color="auto"/>
            </w:tcBorders>
            <w:shd w:val="clear" w:color="auto" w:fill="auto"/>
            <w:vAlign w:val="center"/>
            <w:hideMark/>
          </w:tcPr>
          <w:p w14:paraId="11281288"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174,663</w:t>
            </w:r>
          </w:p>
        </w:tc>
        <w:tc>
          <w:tcPr>
            <w:tcW w:w="1320" w:type="dxa"/>
            <w:tcBorders>
              <w:top w:val="nil"/>
              <w:left w:val="nil"/>
              <w:bottom w:val="single" w:sz="4" w:space="0" w:color="auto"/>
              <w:right w:val="single" w:sz="4" w:space="0" w:color="auto"/>
            </w:tcBorders>
            <w:shd w:val="clear" w:color="auto" w:fill="auto"/>
            <w:vAlign w:val="center"/>
            <w:hideMark/>
          </w:tcPr>
          <w:p w14:paraId="495B94B1"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34,378</w:t>
            </w:r>
          </w:p>
        </w:tc>
        <w:tc>
          <w:tcPr>
            <w:tcW w:w="1320" w:type="dxa"/>
            <w:tcBorders>
              <w:top w:val="nil"/>
              <w:left w:val="nil"/>
              <w:bottom w:val="single" w:sz="4" w:space="0" w:color="auto"/>
              <w:right w:val="single" w:sz="4" w:space="0" w:color="auto"/>
            </w:tcBorders>
            <w:shd w:val="clear" w:color="auto" w:fill="auto"/>
            <w:noWrap/>
            <w:vAlign w:val="center"/>
            <w:hideMark/>
          </w:tcPr>
          <w:p w14:paraId="5964275C"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174,663</w:t>
            </w:r>
          </w:p>
        </w:tc>
        <w:tc>
          <w:tcPr>
            <w:tcW w:w="1320" w:type="dxa"/>
            <w:tcBorders>
              <w:top w:val="nil"/>
              <w:left w:val="nil"/>
              <w:bottom w:val="single" w:sz="4" w:space="0" w:color="auto"/>
              <w:right w:val="single" w:sz="4" w:space="0" w:color="auto"/>
            </w:tcBorders>
            <w:shd w:val="clear" w:color="auto" w:fill="auto"/>
            <w:vAlign w:val="center"/>
            <w:hideMark/>
          </w:tcPr>
          <w:p w14:paraId="7246E530"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90,622</w:t>
            </w:r>
          </w:p>
        </w:tc>
        <w:tc>
          <w:tcPr>
            <w:tcW w:w="1320" w:type="dxa"/>
            <w:tcBorders>
              <w:top w:val="nil"/>
              <w:left w:val="nil"/>
              <w:bottom w:val="single" w:sz="4" w:space="0" w:color="auto"/>
              <w:right w:val="single" w:sz="4" w:space="0" w:color="auto"/>
            </w:tcBorders>
            <w:shd w:val="clear" w:color="auto" w:fill="auto"/>
            <w:vAlign w:val="center"/>
            <w:hideMark/>
          </w:tcPr>
          <w:p w14:paraId="24D34A71" w14:textId="77777777" w:rsidR="003077A9" w:rsidRPr="007A0F4A" w:rsidRDefault="003077A9" w:rsidP="007A0F4A">
            <w:pPr>
              <w:spacing w:before="40" w:after="40"/>
              <w:jc w:val="right"/>
              <w:rPr>
                <w:rFonts w:asciiTheme="minorHAnsi" w:hAnsiTheme="minorHAnsi" w:cs="Arial"/>
                <w:color w:val="000000"/>
                <w:sz w:val="18"/>
                <w:szCs w:val="18"/>
                <w:lang w:val="en-GB"/>
              </w:rPr>
            </w:pPr>
            <w:r w:rsidRPr="007A0F4A">
              <w:rPr>
                <w:rFonts w:asciiTheme="minorHAnsi" w:hAnsiTheme="minorHAnsi" w:cs="Arial"/>
                <w:color w:val="000000"/>
                <w:sz w:val="18"/>
                <w:szCs w:val="18"/>
                <w:lang w:val="en-GB"/>
              </w:rPr>
              <w:t>174,663</w:t>
            </w:r>
          </w:p>
        </w:tc>
      </w:tr>
      <w:tr w:rsidR="003077A9" w:rsidRPr="007A0F4A" w14:paraId="7206242D" w14:textId="77777777" w:rsidTr="007A0F4A">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92478F4" w14:textId="77777777" w:rsidR="003077A9" w:rsidRPr="007A0F4A" w:rsidRDefault="003077A9" w:rsidP="007A0F4A">
            <w:pPr>
              <w:spacing w:before="40" w:after="40"/>
              <w:jc w:val="left"/>
              <w:rPr>
                <w:rFonts w:asciiTheme="minorHAnsi" w:hAnsiTheme="minorHAnsi"/>
                <w:b/>
                <w:bCs/>
                <w:color w:val="000000"/>
                <w:sz w:val="18"/>
                <w:szCs w:val="18"/>
                <w:lang w:val="en-GB"/>
              </w:rPr>
            </w:pPr>
            <w:r w:rsidRPr="007A0F4A">
              <w:rPr>
                <w:rFonts w:asciiTheme="minorHAnsi" w:hAnsiTheme="minorHAnsi"/>
                <w:b/>
                <w:bCs/>
                <w:color w:val="000000"/>
                <w:sz w:val="18"/>
                <w:szCs w:val="18"/>
                <w:lang w:val="en-GB"/>
              </w:rPr>
              <w:t>TOTAL</w:t>
            </w:r>
          </w:p>
        </w:tc>
        <w:tc>
          <w:tcPr>
            <w:tcW w:w="1320" w:type="dxa"/>
            <w:tcBorders>
              <w:top w:val="nil"/>
              <w:left w:val="nil"/>
              <w:bottom w:val="single" w:sz="4" w:space="0" w:color="auto"/>
              <w:right w:val="single" w:sz="4" w:space="0" w:color="auto"/>
            </w:tcBorders>
            <w:shd w:val="clear" w:color="000000" w:fill="FFFFFF"/>
            <w:noWrap/>
            <w:vAlign w:val="center"/>
            <w:hideMark/>
          </w:tcPr>
          <w:p w14:paraId="07411750" w14:textId="77777777" w:rsidR="003077A9" w:rsidRPr="007A0F4A" w:rsidRDefault="003077A9" w:rsidP="007A0F4A">
            <w:pPr>
              <w:spacing w:before="40" w:after="40"/>
              <w:jc w:val="right"/>
              <w:rPr>
                <w:rFonts w:asciiTheme="minorHAnsi" w:hAnsiTheme="minorHAnsi" w:cs="Arial"/>
                <w:b/>
                <w:bCs/>
                <w:color w:val="000000"/>
                <w:sz w:val="18"/>
                <w:szCs w:val="18"/>
                <w:lang w:val="en-GB"/>
              </w:rPr>
            </w:pPr>
            <w:r w:rsidRPr="007A0F4A">
              <w:rPr>
                <w:rFonts w:asciiTheme="minorHAnsi" w:hAnsiTheme="minorHAnsi" w:cs="Arial"/>
                <w:b/>
                <w:bCs/>
                <w:color w:val="000000"/>
                <w:sz w:val="18"/>
                <w:szCs w:val="18"/>
                <w:lang w:val="en-GB"/>
              </w:rPr>
              <w:t>333,782</w:t>
            </w:r>
          </w:p>
        </w:tc>
        <w:tc>
          <w:tcPr>
            <w:tcW w:w="1320" w:type="dxa"/>
            <w:tcBorders>
              <w:top w:val="nil"/>
              <w:left w:val="nil"/>
              <w:bottom w:val="single" w:sz="4" w:space="0" w:color="auto"/>
              <w:right w:val="single" w:sz="4" w:space="0" w:color="auto"/>
            </w:tcBorders>
            <w:shd w:val="clear" w:color="000000" w:fill="FFFFFF"/>
            <w:noWrap/>
            <w:vAlign w:val="center"/>
            <w:hideMark/>
          </w:tcPr>
          <w:p w14:paraId="6728167A" w14:textId="77777777" w:rsidR="003077A9" w:rsidRPr="007A0F4A" w:rsidRDefault="003077A9" w:rsidP="007A0F4A">
            <w:pPr>
              <w:spacing w:before="40" w:after="40"/>
              <w:jc w:val="right"/>
              <w:rPr>
                <w:rFonts w:asciiTheme="minorHAnsi" w:hAnsiTheme="minorHAnsi" w:cs="Arial"/>
                <w:b/>
                <w:bCs/>
                <w:color w:val="000000"/>
                <w:sz w:val="18"/>
                <w:szCs w:val="18"/>
                <w:lang w:val="en-GB"/>
              </w:rPr>
            </w:pPr>
            <w:r w:rsidRPr="007A0F4A">
              <w:rPr>
                <w:rFonts w:asciiTheme="minorHAnsi" w:hAnsiTheme="minorHAnsi" w:cs="Arial"/>
                <w:b/>
                <w:bCs/>
                <w:color w:val="000000"/>
                <w:sz w:val="18"/>
                <w:szCs w:val="18"/>
                <w:lang w:val="en-GB"/>
              </w:rPr>
              <w:t>1,508,214</w:t>
            </w:r>
          </w:p>
        </w:tc>
        <w:tc>
          <w:tcPr>
            <w:tcW w:w="1320" w:type="dxa"/>
            <w:tcBorders>
              <w:top w:val="nil"/>
              <w:left w:val="nil"/>
              <w:bottom w:val="single" w:sz="4" w:space="0" w:color="auto"/>
              <w:right w:val="single" w:sz="4" w:space="0" w:color="auto"/>
            </w:tcBorders>
            <w:shd w:val="clear" w:color="000000" w:fill="FFFFFF"/>
            <w:noWrap/>
            <w:vAlign w:val="center"/>
            <w:hideMark/>
          </w:tcPr>
          <w:p w14:paraId="07F32BED" w14:textId="77777777" w:rsidR="003077A9" w:rsidRPr="007A0F4A" w:rsidRDefault="003077A9" w:rsidP="007A0F4A">
            <w:pPr>
              <w:spacing w:before="40" w:after="40"/>
              <w:jc w:val="right"/>
              <w:rPr>
                <w:rFonts w:asciiTheme="minorHAnsi" w:hAnsiTheme="minorHAnsi" w:cs="Arial"/>
                <w:b/>
                <w:bCs/>
                <w:color w:val="000000"/>
                <w:sz w:val="18"/>
                <w:szCs w:val="18"/>
                <w:lang w:val="en-GB"/>
              </w:rPr>
            </w:pPr>
            <w:r w:rsidRPr="007A0F4A">
              <w:rPr>
                <w:rFonts w:asciiTheme="minorHAnsi" w:hAnsiTheme="minorHAnsi" w:cs="Arial"/>
                <w:b/>
                <w:bCs/>
                <w:color w:val="000000"/>
                <w:sz w:val="18"/>
                <w:szCs w:val="18"/>
                <w:lang w:val="en-GB"/>
              </w:rPr>
              <w:t>453,785</w:t>
            </w:r>
          </w:p>
        </w:tc>
        <w:tc>
          <w:tcPr>
            <w:tcW w:w="1320" w:type="dxa"/>
            <w:tcBorders>
              <w:top w:val="nil"/>
              <w:left w:val="nil"/>
              <w:bottom w:val="single" w:sz="4" w:space="0" w:color="auto"/>
              <w:right w:val="single" w:sz="4" w:space="0" w:color="auto"/>
            </w:tcBorders>
            <w:shd w:val="clear" w:color="000000" w:fill="FFFFFF"/>
            <w:noWrap/>
            <w:vAlign w:val="center"/>
            <w:hideMark/>
          </w:tcPr>
          <w:p w14:paraId="16E8E244" w14:textId="77777777" w:rsidR="003077A9" w:rsidRPr="007A0F4A" w:rsidRDefault="003077A9" w:rsidP="007A0F4A">
            <w:pPr>
              <w:spacing w:before="40" w:after="40"/>
              <w:jc w:val="right"/>
              <w:rPr>
                <w:rFonts w:asciiTheme="minorHAnsi" w:hAnsiTheme="minorHAnsi" w:cs="Arial"/>
                <w:b/>
                <w:bCs/>
                <w:color w:val="000000"/>
                <w:sz w:val="18"/>
                <w:szCs w:val="18"/>
                <w:lang w:val="en-GB"/>
              </w:rPr>
            </w:pPr>
            <w:r w:rsidRPr="007A0F4A">
              <w:rPr>
                <w:rFonts w:asciiTheme="minorHAnsi" w:hAnsiTheme="minorHAnsi" w:cs="Arial"/>
                <w:b/>
                <w:bCs/>
                <w:color w:val="000000"/>
                <w:sz w:val="18"/>
                <w:szCs w:val="18"/>
                <w:lang w:val="en-GB"/>
              </w:rPr>
              <w:t>2,259,413</w:t>
            </w:r>
          </w:p>
        </w:tc>
        <w:tc>
          <w:tcPr>
            <w:tcW w:w="1320" w:type="dxa"/>
            <w:tcBorders>
              <w:top w:val="nil"/>
              <w:left w:val="nil"/>
              <w:bottom w:val="single" w:sz="4" w:space="0" w:color="auto"/>
              <w:right w:val="single" w:sz="4" w:space="0" w:color="auto"/>
            </w:tcBorders>
            <w:shd w:val="clear" w:color="000000" w:fill="FFFFFF"/>
            <w:noWrap/>
            <w:vAlign w:val="center"/>
            <w:hideMark/>
          </w:tcPr>
          <w:p w14:paraId="7F3D02E5" w14:textId="77777777" w:rsidR="003077A9" w:rsidRPr="007A0F4A" w:rsidRDefault="003077A9" w:rsidP="007A0F4A">
            <w:pPr>
              <w:spacing w:before="40" w:after="40"/>
              <w:jc w:val="right"/>
              <w:rPr>
                <w:rFonts w:asciiTheme="minorHAnsi" w:hAnsiTheme="minorHAnsi" w:cs="Arial"/>
                <w:b/>
                <w:bCs/>
                <w:color w:val="000000"/>
                <w:sz w:val="18"/>
                <w:szCs w:val="18"/>
                <w:lang w:val="en-GB"/>
              </w:rPr>
            </w:pPr>
            <w:r w:rsidRPr="007A0F4A">
              <w:rPr>
                <w:rFonts w:asciiTheme="minorHAnsi" w:hAnsiTheme="minorHAnsi" w:cs="Arial"/>
                <w:b/>
                <w:bCs/>
                <w:color w:val="000000"/>
                <w:sz w:val="18"/>
                <w:szCs w:val="18"/>
                <w:lang w:val="en-GB"/>
              </w:rPr>
              <w:t>373,929</w:t>
            </w:r>
          </w:p>
        </w:tc>
        <w:tc>
          <w:tcPr>
            <w:tcW w:w="1320" w:type="dxa"/>
            <w:tcBorders>
              <w:top w:val="nil"/>
              <w:left w:val="nil"/>
              <w:bottom w:val="single" w:sz="4" w:space="0" w:color="auto"/>
              <w:right w:val="single" w:sz="4" w:space="0" w:color="auto"/>
            </w:tcBorders>
            <w:shd w:val="clear" w:color="000000" w:fill="FFFFFF"/>
            <w:noWrap/>
            <w:vAlign w:val="center"/>
            <w:hideMark/>
          </w:tcPr>
          <w:p w14:paraId="62A5143C" w14:textId="77777777" w:rsidR="003077A9" w:rsidRPr="007A0F4A" w:rsidRDefault="003077A9" w:rsidP="007A0F4A">
            <w:pPr>
              <w:spacing w:before="40" w:after="40"/>
              <w:jc w:val="right"/>
              <w:rPr>
                <w:rFonts w:asciiTheme="minorHAnsi" w:hAnsiTheme="minorHAnsi" w:cs="Arial"/>
                <w:b/>
                <w:bCs/>
                <w:color w:val="000000"/>
                <w:sz w:val="18"/>
                <w:szCs w:val="18"/>
                <w:lang w:val="en-GB"/>
              </w:rPr>
            </w:pPr>
            <w:r w:rsidRPr="007A0F4A">
              <w:rPr>
                <w:rFonts w:asciiTheme="minorHAnsi" w:hAnsiTheme="minorHAnsi" w:cs="Arial"/>
                <w:b/>
                <w:bCs/>
                <w:color w:val="000000"/>
                <w:sz w:val="18"/>
                <w:szCs w:val="18"/>
                <w:lang w:val="en-GB"/>
              </w:rPr>
              <w:t>2,172,373</w:t>
            </w:r>
          </w:p>
        </w:tc>
      </w:tr>
    </w:tbl>
    <w:p w14:paraId="59FA0650" w14:textId="77777777" w:rsidR="00C94B81" w:rsidRPr="00D8583C" w:rsidRDefault="00C94B81" w:rsidP="00F64864">
      <w:pPr>
        <w:ind w:firstLine="426"/>
        <w:rPr>
          <w:rFonts w:asciiTheme="minorHAnsi" w:hAnsiTheme="minorHAnsi"/>
          <w:i/>
          <w:sz w:val="20"/>
          <w:lang w:val="en-GB"/>
        </w:rPr>
      </w:pPr>
      <w:r w:rsidRPr="00D8583C">
        <w:rPr>
          <w:rFonts w:asciiTheme="minorHAnsi" w:hAnsiTheme="minorHAnsi"/>
          <w:i/>
          <w:sz w:val="20"/>
          <w:lang w:val="en-GB"/>
        </w:rPr>
        <w:t>Source: SOE AFS Various Years</w:t>
      </w:r>
    </w:p>
    <w:p w14:paraId="46DABED0" w14:textId="77777777" w:rsidR="00BA0FC5" w:rsidRDefault="00BA0FC5" w:rsidP="00CB1534">
      <w:pPr>
        <w:ind w:firstLine="426"/>
        <w:rPr>
          <w:rFonts w:asciiTheme="minorHAnsi" w:hAnsiTheme="minorHAnsi"/>
          <w:sz w:val="18"/>
          <w:szCs w:val="18"/>
          <w:lang w:val="en-GB"/>
        </w:rPr>
      </w:pPr>
    </w:p>
    <w:p w14:paraId="50D70A0D" w14:textId="77777777" w:rsidR="00BA0FC5" w:rsidRDefault="00BA0FC5" w:rsidP="00CB1534">
      <w:pPr>
        <w:ind w:firstLine="426"/>
        <w:rPr>
          <w:rFonts w:asciiTheme="minorHAnsi" w:hAnsiTheme="minorHAnsi"/>
          <w:sz w:val="18"/>
          <w:szCs w:val="18"/>
          <w:lang w:val="en-GB"/>
        </w:rPr>
      </w:pPr>
    </w:p>
    <w:p w14:paraId="6529CBEC" w14:textId="3F31AAF3" w:rsidR="004D71A0" w:rsidRPr="00D25BE7" w:rsidRDefault="004D71A0" w:rsidP="00281B45">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 xml:space="preserve">WASCO represents a particular concern, not only in its poor financial performance, qualified audit reports, inability to repay loans, but also due to the significant value of continued GoL contribution to the enterprise through two primary sources: ‘GoL Funding’ and ‘GoL Grants’, both of which, under WASCO policy are capitalised as equity balances. The former represents </w:t>
      </w:r>
      <w:r w:rsidRPr="00D25BE7">
        <w:rPr>
          <w:rFonts w:asciiTheme="minorHAnsi" w:hAnsiTheme="minorHAnsi"/>
          <w:color w:val="000000" w:themeColor="text1"/>
          <w:lang w:val="en-GB"/>
        </w:rPr>
        <w:lastRenderedPageBreak/>
        <w:t>the net assets of former water &amp; sewerage branch plus projects under construction by WASCO funded by government, while the latter is stated as representative of debt forgiveness</w:t>
      </w:r>
      <w:r w:rsidRPr="00D25BE7">
        <w:rPr>
          <w:rStyle w:val="FootnoteReference"/>
          <w:rFonts w:asciiTheme="minorHAnsi" w:hAnsiTheme="minorHAnsi"/>
          <w:color w:val="000000" w:themeColor="text1"/>
          <w:lang w:val="en-GB"/>
        </w:rPr>
        <w:footnoteReference w:id="6"/>
      </w:r>
      <w:r w:rsidRPr="00D25BE7">
        <w:rPr>
          <w:rFonts w:asciiTheme="minorHAnsi" w:hAnsiTheme="minorHAnsi"/>
          <w:color w:val="000000" w:themeColor="text1"/>
          <w:lang w:val="en-GB"/>
        </w:rPr>
        <w:t xml:space="preserve">. </w:t>
      </w:r>
    </w:p>
    <w:p w14:paraId="0EDD8E82" w14:textId="46B9E8EE" w:rsidR="00D62271" w:rsidRPr="00D25BE7" w:rsidRDefault="00412919" w:rsidP="00E241D0">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The general pattern of direct inflows a</w:t>
      </w:r>
      <w:r w:rsidR="00C31843" w:rsidRPr="00D25BE7">
        <w:rPr>
          <w:rFonts w:asciiTheme="minorHAnsi" w:hAnsiTheme="minorHAnsi"/>
          <w:color w:val="000000" w:themeColor="text1"/>
          <w:lang w:val="en-GB"/>
        </w:rPr>
        <w:t>gainst</w:t>
      </w:r>
      <w:r w:rsidRPr="00D25BE7">
        <w:rPr>
          <w:rFonts w:asciiTheme="minorHAnsi" w:hAnsiTheme="minorHAnsi"/>
          <w:color w:val="000000" w:themeColor="text1"/>
          <w:lang w:val="en-GB"/>
        </w:rPr>
        <w:t xml:space="preserve"> outflows can be illustrated as follows:</w:t>
      </w:r>
    </w:p>
    <w:p w14:paraId="2750E152" w14:textId="675C436D" w:rsidR="003C52B0" w:rsidRPr="00243C32" w:rsidRDefault="003C52B0" w:rsidP="003C52B0">
      <w:pPr>
        <w:ind w:firstLine="426"/>
        <w:rPr>
          <w:rFonts w:asciiTheme="minorHAnsi" w:hAnsiTheme="minorHAnsi"/>
          <w:b/>
          <w:sz w:val="20"/>
          <w:lang w:val="en-GB"/>
        </w:rPr>
      </w:pPr>
      <w:r w:rsidRPr="00243C32">
        <w:rPr>
          <w:rFonts w:asciiTheme="minorHAnsi" w:hAnsiTheme="minorHAnsi"/>
          <w:b/>
          <w:sz w:val="20"/>
          <w:lang w:val="en-GB"/>
        </w:rPr>
        <w:t xml:space="preserve">Figure </w:t>
      </w:r>
      <w:r w:rsidR="00765C47" w:rsidRPr="00243C32">
        <w:rPr>
          <w:rFonts w:asciiTheme="minorHAnsi" w:hAnsiTheme="minorHAnsi"/>
          <w:b/>
          <w:sz w:val="20"/>
          <w:lang w:val="en-GB"/>
        </w:rPr>
        <w:t>12</w:t>
      </w:r>
      <w:r w:rsidR="00765C47">
        <w:rPr>
          <w:rFonts w:asciiTheme="minorHAnsi" w:hAnsiTheme="minorHAnsi"/>
          <w:b/>
          <w:sz w:val="20"/>
          <w:lang w:val="en-GB"/>
        </w:rPr>
        <w:t>: Direct Inflows and Outflows</w:t>
      </w:r>
    </w:p>
    <w:p w14:paraId="415D5F80" w14:textId="77777777" w:rsidR="00765C47" w:rsidRPr="00D25BE7" w:rsidRDefault="00765C47" w:rsidP="003C52B0">
      <w:pPr>
        <w:ind w:firstLine="426"/>
        <w:rPr>
          <w:rFonts w:asciiTheme="minorHAnsi" w:hAnsiTheme="minorHAnsi"/>
          <w:sz w:val="18"/>
          <w:szCs w:val="18"/>
          <w:lang w:val="en-GB"/>
        </w:rPr>
      </w:pPr>
    </w:p>
    <w:p w14:paraId="6024F030" w14:textId="773EC743" w:rsidR="00550076" w:rsidRPr="00D25BE7" w:rsidRDefault="003C52B0" w:rsidP="009C433E">
      <w:pPr>
        <w:rPr>
          <w:rFonts w:asciiTheme="minorHAnsi" w:hAnsiTheme="minorHAnsi"/>
          <w:color w:val="000000" w:themeColor="text1"/>
          <w:lang w:val="en-GB"/>
        </w:rPr>
      </w:pPr>
      <w:r w:rsidRPr="00D25BE7">
        <w:rPr>
          <w:rFonts w:asciiTheme="minorHAnsi" w:hAnsiTheme="minorHAnsi"/>
          <w:color w:val="000000" w:themeColor="text1"/>
          <w:lang w:val="en-GB"/>
        </w:rPr>
        <w:tab/>
      </w:r>
      <w:r w:rsidR="00190D13">
        <w:rPr>
          <w:noProof/>
        </w:rPr>
        <w:drawing>
          <wp:inline distT="0" distB="0" distL="0" distR="0" wp14:anchorId="3486AAB3" wp14:editId="471F1FA8">
            <wp:extent cx="4683125" cy="2905760"/>
            <wp:effectExtent l="25400" t="25400" r="92075" b="9144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5CB7705" w14:textId="77777777" w:rsidR="00D05AC8" w:rsidRPr="00D8583C" w:rsidRDefault="00D05AC8" w:rsidP="00F64864">
      <w:pPr>
        <w:ind w:firstLine="720"/>
        <w:rPr>
          <w:rFonts w:asciiTheme="minorHAnsi" w:hAnsiTheme="minorHAnsi"/>
          <w:i/>
          <w:sz w:val="20"/>
          <w:lang w:val="en-GB"/>
        </w:rPr>
      </w:pPr>
      <w:r w:rsidRPr="00D8583C">
        <w:rPr>
          <w:rFonts w:asciiTheme="minorHAnsi" w:hAnsiTheme="minorHAnsi"/>
          <w:i/>
          <w:sz w:val="20"/>
          <w:lang w:val="en-GB"/>
        </w:rPr>
        <w:t>Source: SOE AFS Various Years</w:t>
      </w:r>
    </w:p>
    <w:p w14:paraId="5C4FBB10" w14:textId="77777777" w:rsidR="003C52B0" w:rsidRPr="00D25BE7" w:rsidRDefault="003C52B0" w:rsidP="003C52B0">
      <w:pPr>
        <w:rPr>
          <w:rFonts w:asciiTheme="minorHAnsi" w:hAnsiTheme="minorHAnsi"/>
          <w:color w:val="000000" w:themeColor="text1"/>
          <w:lang w:val="en-GB"/>
        </w:rPr>
      </w:pPr>
    </w:p>
    <w:p w14:paraId="72E114AA" w14:textId="0797CBE5" w:rsidR="003740F7" w:rsidRDefault="00EC7D97" w:rsidP="009C433E">
      <w:pPr>
        <w:pStyle w:val="ListParagraph"/>
        <w:ind w:left="426" w:hanging="426"/>
        <w:rPr>
          <w:rFonts w:asciiTheme="minorHAnsi" w:hAnsiTheme="minorHAnsi"/>
          <w:color w:val="000000" w:themeColor="text1"/>
          <w:lang w:val="en-GB"/>
        </w:rPr>
      </w:pPr>
      <w:r>
        <w:rPr>
          <w:rFonts w:asciiTheme="minorHAnsi" w:hAnsiTheme="minorHAnsi"/>
          <w:color w:val="000000" w:themeColor="text1"/>
          <w:lang w:val="en-GB"/>
        </w:rPr>
        <w:t xml:space="preserve">Whilst the balance of inflow is greater than that of outflow, the chart clearly highlights the vulnerability of inflows </w:t>
      </w:r>
      <w:r w:rsidR="00EF4336">
        <w:rPr>
          <w:rFonts w:asciiTheme="minorHAnsi" w:hAnsiTheme="minorHAnsi"/>
          <w:color w:val="000000" w:themeColor="text1"/>
          <w:lang w:val="en-GB"/>
        </w:rPr>
        <w:t xml:space="preserve">as they have been greatly dependent upon </w:t>
      </w:r>
      <w:proofErr w:type="spellStart"/>
      <w:r w:rsidR="00EF4336">
        <w:rPr>
          <w:rFonts w:asciiTheme="minorHAnsi" w:hAnsiTheme="minorHAnsi"/>
          <w:color w:val="000000" w:themeColor="text1"/>
          <w:lang w:val="en-GB"/>
        </w:rPr>
        <w:t>Letseng</w:t>
      </w:r>
      <w:proofErr w:type="spellEnd"/>
      <w:r w:rsidR="00EF4336">
        <w:rPr>
          <w:rFonts w:asciiTheme="minorHAnsi" w:hAnsiTheme="minorHAnsi"/>
          <w:color w:val="000000" w:themeColor="text1"/>
          <w:lang w:val="en-GB"/>
        </w:rPr>
        <w:t xml:space="preserve"> Diamonds which has not declared dividends in 2017/18</w:t>
      </w:r>
      <w:r w:rsidR="008C475E">
        <w:rPr>
          <w:rFonts w:asciiTheme="minorHAnsi" w:hAnsiTheme="minorHAnsi"/>
          <w:color w:val="000000" w:themeColor="text1"/>
          <w:lang w:val="en-GB"/>
        </w:rPr>
        <w:t>,</w:t>
      </w:r>
      <w:r w:rsidR="00EF4336">
        <w:rPr>
          <w:rFonts w:asciiTheme="minorHAnsi" w:hAnsiTheme="minorHAnsi"/>
          <w:color w:val="000000" w:themeColor="text1"/>
          <w:lang w:val="en-GB"/>
        </w:rPr>
        <w:t xml:space="preserve"> and its tax payments have reduced by 51%</w:t>
      </w:r>
      <w:r w:rsidR="00D05AC8">
        <w:rPr>
          <w:rFonts w:asciiTheme="minorHAnsi" w:hAnsiTheme="minorHAnsi"/>
          <w:color w:val="000000" w:themeColor="text1"/>
          <w:lang w:val="en-GB"/>
        </w:rPr>
        <w:t xml:space="preserve"> in the past 2 years.</w:t>
      </w:r>
    </w:p>
    <w:p w14:paraId="5BFD8862" w14:textId="77777777" w:rsidR="00EC7D97" w:rsidRPr="00243C32" w:rsidRDefault="00EC7D97" w:rsidP="00243C32">
      <w:pPr>
        <w:rPr>
          <w:rFonts w:asciiTheme="minorHAnsi" w:hAnsiTheme="minorHAnsi"/>
          <w:color w:val="000000" w:themeColor="text1"/>
          <w:lang w:val="en-GB"/>
        </w:rPr>
      </w:pPr>
    </w:p>
    <w:p w14:paraId="0EC06181" w14:textId="450BE2BE" w:rsidR="0058170B" w:rsidRPr="00D25BE7" w:rsidRDefault="0058170B" w:rsidP="00B46EE5">
      <w:pPr>
        <w:pStyle w:val="Heading1"/>
        <w:rPr>
          <w:rFonts w:asciiTheme="minorHAnsi" w:hAnsiTheme="minorHAnsi"/>
        </w:rPr>
      </w:pPr>
      <w:bookmarkStart w:id="18" w:name="_Toc455467806"/>
      <w:r w:rsidRPr="00D25BE7">
        <w:rPr>
          <w:rFonts w:asciiTheme="minorHAnsi" w:hAnsiTheme="minorHAnsi"/>
        </w:rPr>
        <w:t>ISSUES OF GOVERNANCE AND RISK</w:t>
      </w:r>
      <w:bookmarkEnd w:id="18"/>
    </w:p>
    <w:p w14:paraId="36568CBE" w14:textId="1E0633B8" w:rsidR="0058170B" w:rsidRPr="00D25BE7" w:rsidRDefault="00990C4F" w:rsidP="0058170B">
      <w:pPr>
        <w:pStyle w:val="ListParagraph"/>
        <w:ind w:left="426" w:hanging="426"/>
        <w:rPr>
          <w:rFonts w:asciiTheme="minorHAnsi" w:hAnsiTheme="minorHAnsi"/>
          <w:color w:val="000000" w:themeColor="text1"/>
          <w:lang w:val="en-GB"/>
        </w:rPr>
      </w:pPr>
      <w:r w:rsidRPr="00D25BE7">
        <w:rPr>
          <w:rFonts w:asciiTheme="minorHAnsi" w:hAnsiTheme="minorHAnsi" w:cs="Arial"/>
          <w:szCs w:val="22"/>
        </w:rPr>
        <w:t xml:space="preserve">This section of the report comments on general matters of SOE Governance and fiscal risk to the government. More specific matters are addressed in the following section on individual SOE performances. </w:t>
      </w:r>
    </w:p>
    <w:p w14:paraId="54C7494B" w14:textId="77777777" w:rsidR="00EB74F7" w:rsidRPr="00D25BE7" w:rsidRDefault="00990C4F" w:rsidP="00EB74F7">
      <w:pPr>
        <w:pStyle w:val="ListParagraph"/>
        <w:ind w:left="426" w:hanging="426"/>
        <w:rPr>
          <w:rFonts w:asciiTheme="minorHAnsi" w:hAnsiTheme="minorHAnsi"/>
          <w:color w:val="000000" w:themeColor="text1"/>
          <w:lang w:val="en-GB"/>
        </w:rPr>
      </w:pPr>
      <w:r w:rsidRPr="00D25BE7">
        <w:rPr>
          <w:rFonts w:asciiTheme="minorHAnsi" w:hAnsiTheme="minorHAnsi" w:cs="Arial"/>
          <w:szCs w:val="22"/>
        </w:rPr>
        <w:t xml:space="preserve">It should be noted, that </w:t>
      </w:r>
      <w:r w:rsidR="00AB5D55" w:rsidRPr="00D25BE7">
        <w:rPr>
          <w:rFonts w:asciiTheme="minorHAnsi" w:hAnsiTheme="minorHAnsi" w:cs="Arial"/>
          <w:szCs w:val="22"/>
        </w:rPr>
        <w:t xml:space="preserve">at this time and as explained in the introduction, PSD has limited influence and control, despite fulfilling an ownership monitoring function. Much of the stewardship decision-making and application of governance practices rests with line ministries and PSD has limited information. </w:t>
      </w:r>
    </w:p>
    <w:p w14:paraId="1D155394" w14:textId="197496F4" w:rsidR="00A7189B" w:rsidRPr="00D25BE7" w:rsidRDefault="00EC44B8" w:rsidP="00A7189B">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 xml:space="preserve">Specifically, in regard to matters of governance </w:t>
      </w:r>
      <w:r w:rsidR="00EB74F7" w:rsidRPr="00D25BE7">
        <w:rPr>
          <w:rFonts w:asciiTheme="minorHAnsi" w:hAnsiTheme="minorHAnsi"/>
          <w:color w:val="000000" w:themeColor="text1"/>
          <w:lang w:val="en-GB"/>
        </w:rPr>
        <w:t xml:space="preserve">and risk, </w:t>
      </w:r>
      <w:r w:rsidR="00EB74F7" w:rsidRPr="00D25BE7">
        <w:rPr>
          <w:rFonts w:asciiTheme="minorHAnsi" w:hAnsiTheme="minorHAnsi" w:cs="Arial"/>
          <w:lang w:val="en-GB"/>
        </w:rPr>
        <w:t>GOL / LNDC</w:t>
      </w:r>
      <w:r w:rsidR="000E0E31">
        <w:rPr>
          <w:rFonts w:asciiTheme="minorHAnsi" w:hAnsiTheme="minorHAnsi" w:cs="Arial"/>
          <w:lang w:val="en-GB"/>
        </w:rPr>
        <w:t>’s</w:t>
      </w:r>
      <w:r w:rsidR="00EB74F7" w:rsidRPr="00D25BE7">
        <w:rPr>
          <w:rFonts w:asciiTheme="minorHAnsi" w:hAnsiTheme="minorHAnsi" w:cs="Arial"/>
          <w:lang w:val="en-GB"/>
        </w:rPr>
        <w:t xml:space="preserve"> power and authority over companies where it has minority shareholding is limited to the rights attaching to the </w:t>
      </w:r>
      <w:r w:rsidR="00EB74F7" w:rsidRPr="00D25BE7">
        <w:rPr>
          <w:rFonts w:asciiTheme="minorHAnsi" w:hAnsiTheme="minorHAnsi" w:cs="Arial"/>
          <w:lang w:val="en-GB"/>
        </w:rPr>
        <w:lastRenderedPageBreak/>
        <w:t>shares or specified in the Companies Act and articles of incorporation. There is no distinction between GoL / LNDC as a shareholder and a private shareholder. A director that represents GoL / LNDC is in the same position as a director that represents a private shareholder. Where GoL / LNDC hold a majority shareholding in a company, the rights of minority shareholders and the interest of the company must be respected in the same way that GoL / LNDC must seek to exercise its rights as a minority shareholder</w:t>
      </w:r>
      <w:r w:rsidR="00EB74F7" w:rsidRPr="00D25BE7">
        <w:rPr>
          <w:rFonts w:asciiTheme="minorHAnsi" w:hAnsiTheme="minorHAnsi" w:cs="Arial"/>
          <w:u w:val="single"/>
          <w:lang w:val="en-GB"/>
        </w:rPr>
        <w:t>.</w:t>
      </w:r>
    </w:p>
    <w:p w14:paraId="23F3090C" w14:textId="03A64A62" w:rsidR="00EB74F7" w:rsidRPr="00D25BE7" w:rsidRDefault="00EB74F7" w:rsidP="00DA33E8">
      <w:pPr>
        <w:pStyle w:val="ListParagraph"/>
        <w:ind w:left="426" w:hanging="426"/>
        <w:rPr>
          <w:rFonts w:asciiTheme="minorHAnsi" w:hAnsiTheme="minorHAnsi"/>
          <w:color w:val="000000" w:themeColor="text1"/>
          <w:lang w:val="en-GB"/>
        </w:rPr>
      </w:pPr>
      <w:r w:rsidRPr="00D25BE7">
        <w:rPr>
          <w:rFonts w:asciiTheme="minorHAnsi" w:hAnsiTheme="minorHAnsi"/>
          <w:lang w:val="en-GB"/>
        </w:rPr>
        <w:t xml:space="preserve">A shareholder or duly authorised agent may, at any time, make a written request to a company for information held by the company. The Minister of Finance, when a shareholder may make this request, or may be made by a duly authorised agent by other shareholders that hold shares directly or indirectly on behalf of GoL. </w:t>
      </w:r>
      <w:r w:rsidRPr="00D25BE7">
        <w:rPr>
          <w:rFonts w:asciiTheme="minorHAnsi" w:hAnsiTheme="minorHAnsi" w:cs="Arial"/>
          <w:lang w:val="en-GB"/>
        </w:rPr>
        <w:t>A shareholder that is refused information may apply to Court for an order that the company provide the information within a reasonable time or upon the payment of a charge</w:t>
      </w:r>
      <w:r w:rsidR="00A7189B" w:rsidRPr="00D25BE7">
        <w:rPr>
          <w:rFonts w:asciiTheme="minorHAnsi" w:hAnsiTheme="minorHAnsi" w:cs="Arial"/>
          <w:lang w:val="en-GB"/>
        </w:rPr>
        <w:t xml:space="preserve">. </w:t>
      </w:r>
    </w:p>
    <w:p w14:paraId="4690B22A" w14:textId="47BFEEBE" w:rsidR="00AB5D55" w:rsidRPr="00D25BE7" w:rsidRDefault="00AA6FB3" w:rsidP="0058170B">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In fully exercising any GoL rights as a shareholder, a Minister or ministry or LNDC may appoint the Minister (ministry) of Finance as a proxy, for attendance and voting at a shareholders meeting.</w:t>
      </w:r>
    </w:p>
    <w:p w14:paraId="33A27088" w14:textId="77777777" w:rsidR="00DA33E8" w:rsidRPr="00D25BE7" w:rsidRDefault="00DA33E8" w:rsidP="00DA33E8">
      <w:pPr>
        <w:pStyle w:val="ListParagraph"/>
        <w:ind w:left="426" w:hanging="426"/>
        <w:rPr>
          <w:rFonts w:asciiTheme="minorHAnsi" w:hAnsiTheme="minorHAnsi"/>
          <w:color w:val="000000" w:themeColor="text1"/>
          <w:lang w:val="en-GB"/>
        </w:rPr>
      </w:pPr>
      <w:r w:rsidRPr="00D25BE7">
        <w:rPr>
          <w:rFonts w:asciiTheme="minorHAnsi" w:hAnsiTheme="minorHAnsi" w:cs="Arial"/>
          <w:lang w:val="en-GB"/>
        </w:rPr>
        <w:t>A shareholder may question, discuss or comment on the management of a company at a meeting of shareholders of the company. A meeting of shareholders may pass a resolution relating to the management of the company, which is binding on the board unless the articles of incorporation provide otherwise. Where the shareholder does not approve the exercise of a power by a director or board of a company, the power is deemed not to have been exercised and where the shareholder suffers prejudice, the shareholder may bring an action against the director or the company.</w:t>
      </w:r>
    </w:p>
    <w:p w14:paraId="2936BAA1" w14:textId="6FBE5D1D" w:rsidR="00DA33E8" w:rsidRPr="00D25BE7" w:rsidRDefault="0091727C" w:rsidP="0058170B">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Each of the stated powers of a shareholder should be exercised to the fullest extent by GoL, in order to ensure effective governance of each SOE. Practically this requires political will and the ability of Ministers and ministries to engage ministry of finance personnel as required to assist in the fulfilment of shareholding rights and powers; to improve governance and oversight of SOEs and to reduce financial and operating risk.</w:t>
      </w:r>
    </w:p>
    <w:p w14:paraId="169B4038" w14:textId="4142381A" w:rsidR="00403F02" w:rsidRPr="00D25BE7" w:rsidRDefault="00A2664A" w:rsidP="00403F02">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 xml:space="preserve">SOEs that are registered companies that are </w:t>
      </w:r>
      <w:r w:rsidR="00403F02" w:rsidRPr="00D25BE7">
        <w:rPr>
          <w:rFonts w:asciiTheme="minorHAnsi" w:hAnsiTheme="minorHAnsi"/>
          <w:color w:val="000000" w:themeColor="text1"/>
          <w:lang w:val="en-GB"/>
        </w:rPr>
        <w:t>wholly,</w:t>
      </w:r>
      <w:r w:rsidR="0033112E" w:rsidRPr="00D25BE7">
        <w:rPr>
          <w:rFonts w:asciiTheme="minorHAnsi" w:hAnsiTheme="minorHAnsi"/>
          <w:color w:val="000000" w:themeColor="text1"/>
          <w:lang w:val="en-GB"/>
        </w:rPr>
        <w:t xml:space="preserve"> or majority</w:t>
      </w:r>
      <w:r w:rsidRPr="00D25BE7">
        <w:rPr>
          <w:rFonts w:asciiTheme="minorHAnsi" w:hAnsiTheme="minorHAnsi"/>
          <w:color w:val="000000" w:themeColor="text1"/>
          <w:lang w:val="en-GB"/>
        </w:rPr>
        <w:t xml:space="preserve"> owned by government </w:t>
      </w:r>
      <w:r w:rsidR="0033112E" w:rsidRPr="00D25BE7">
        <w:rPr>
          <w:rFonts w:asciiTheme="minorHAnsi" w:hAnsiTheme="minorHAnsi"/>
          <w:color w:val="000000" w:themeColor="text1"/>
          <w:lang w:val="en-GB"/>
        </w:rPr>
        <w:t xml:space="preserve">or LNDC </w:t>
      </w:r>
      <w:r w:rsidRPr="00D25BE7">
        <w:rPr>
          <w:rFonts w:asciiTheme="minorHAnsi" w:hAnsiTheme="minorHAnsi"/>
          <w:color w:val="000000" w:themeColor="text1"/>
          <w:lang w:val="en-GB"/>
        </w:rPr>
        <w:t xml:space="preserve">are limited </w:t>
      </w:r>
      <w:r w:rsidR="00B63A29" w:rsidRPr="00D25BE7">
        <w:rPr>
          <w:rFonts w:asciiTheme="minorHAnsi" w:hAnsiTheme="minorHAnsi"/>
          <w:color w:val="000000" w:themeColor="text1"/>
          <w:lang w:val="en-GB"/>
        </w:rPr>
        <w:t xml:space="preserve">(in liability) </w:t>
      </w:r>
      <w:r w:rsidRPr="00D25BE7">
        <w:rPr>
          <w:rFonts w:asciiTheme="minorHAnsi" w:hAnsiTheme="minorHAnsi"/>
          <w:color w:val="000000" w:themeColor="text1"/>
          <w:lang w:val="en-GB"/>
        </w:rPr>
        <w:t xml:space="preserve">to the value of the shareholding, although there is an implicit risk </w:t>
      </w:r>
      <w:r w:rsidR="0033112E" w:rsidRPr="00D25BE7">
        <w:rPr>
          <w:rFonts w:asciiTheme="minorHAnsi" w:hAnsiTheme="minorHAnsi"/>
          <w:color w:val="000000" w:themeColor="text1"/>
          <w:lang w:val="en-GB"/>
        </w:rPr>
        <w:t>of expectation of guarantee that GoL will not permit the company to default on payments.</w:t>
      </w:r>
    </w:p>
    <w:p w14:paraId="357531A2" w14:textId="77777777" w:rsidR="00403F02" w:rsidRPr="00CF452B" w:rsidRDefault="00403F02" w:rsidP="00403F02">
      <w:pPr>
        <w:pStyle w:val="ListParagraph"/>
        <w:ind w:left="426" w:hanging="426"/>
        <w:rPr>
          <w:rFonts w:asciiTheme="minorHAnsi" w:hAnsiTheme="minorHAnsi"/>
          <w:color w:val="000000" w:themeColor="text1"/>
          <w:lang w:val="en-GB"/>
        </w:rPr>
      </w:pPr>
      <w:r w:rsidRPr="00D25BE7">
        <w:rPr>
          <w:rFonts w:asciiTheme="minorHAnsi" w:hAnsiTheme="minorHAnsi"/>
          <w:lang w:val="en-GB"/>
        </w:rPr>
        <w:t xml:space="preserve">IMF states that “while guarantees for external debt are monitored well by the Ministry of Finance, weak monitoring of state-owned enterprises limits information about possible domestic contingent liabilities which are, therefore, not included in the DSA (Debt Sustainability Analysis). However, based on World Bank analysis, the range of possible </w:t>
      </w:r>
      <w:r w:rsidRPr="00CF452B">
        <w:rPr>
          <w:rFonts w:asciiTheme="minorHAnsi" w:hAnsiTheme="minorHAnsi"/>
          <w:lang w:val="en-GB"/>
        </w:rPr>
        <w:t>contingent liabilities would not have a major impact on the DSA.”</w:t>
      </w:r>
      <w:r w:rsidRPr="00CF452B">
        <w:rPr>
          <w:rStyle w:val="FootnoteReference"/>
          <w:rFonts w:asciiTheme="minorHAnsi" w:hAnsiTheme="minorHAnsi" w:cs="Arial"/>
          <w:lang w:val="en-GB"/>
        </w:rPr>
        <w:footnoteReference w:id="7"/>
      </w:r>
      <w:r w:rsidRPr="00CF452B">
        <w:rPr>
          <w:rFonts w:asciiTheme="minorHAnsi" w:hAnsiTheme="minorHAnsi"/>
          <w:lang w:val="en-GB"/>
        </w:rPr>
        <w:t xml:space="preserve">  </w:t>
      </w:r>
    </w:p>
    <w:p w14:paraId="3DE6AACB" w14:textId="38BB7AF8" w:rsidR="00C309C9" w:rsidRPr="00CF452B" w:rsidRDefault="00C309C9">
      <w:pPr>
        <w:pStyle w:val="ListParagraph"/>
        <w:ind w:left="426" w:hanging="426"/>
        <w:rPr>
          <w:rFonts w:asciiTheme="minorHAnsi" w:hAnsiTheme="minorHAnsi"/>
          <w:lang w:val="en-GB"/>
        </w:rPr>
      </w:pPr>
      <w:r w:rsidRPr="00243C32">
        <w:rPr>
          <w:rFonts w:asciiTheme="minorHAnsi" w:hAnsiTheme="minorHAnsi"/>
          <w:lang w:val="en-GB"/>
        </w:rPr>
        <w:lastRenderedPageBreak/>
        <w:t xml:space="preserve">The Government lends or on-lends to state-owned enterprises for specific purposes consistent with its development policy objectives. The borrower is obliged to pay interest and repay principal sums in accordance with the terms and conditions agreed between the parties. </w:t>
      </w:r>
    </w:p>
    <w:p w14:paraId="6D886E16" w14:textId="29A0EC87" w:rsidR="00F11227" w:rsidRPr="00243C32" w:rsidRDefault="006A547C" w:rsidP="00813AF6">
      <w:pPr>
        <w:pStyle w:val="ListParagraph"/>
        <w:ind w:left="426" w:hanging="426"/>
        <w:rPr>
          <w:rFonts w:asciiTheme="minorHAnsi" w:hAnsiTheme="minorHAnsi"/>
          <w:color w:val="000000" w:themeColor="text1"/>
          <w:lang w:val="en-GB"/>
        </w:rPr>
      </w:pPr>
      <w:r w:rsidRPr="00CF452B">
        <w:rPr>
          <w:rFonts w:asciiTheme="minorHAnsi" w:hAnsiTheme="minorHAnsi" w:cs="Verdana Bold"/>
          <w:color w:val="000000"/>
          <w:szCs w:val="22"/>
        </w:rPr>
        <w:t xml:space="preserve">During the year under review, principal payments of on-lent loans amounted to M10,236,300. The closing balance at the end of the year amounted to M1,029,114,831. No existing loans were cancelled or new loans disbursed during the year. Conversely, a significant total amount of M161,898,291 being principal amount of M133,467,189 and interest of M28,431,102 owing to Government were in arrears as at 31 March 2018. </w:t>
      </w:r>
      <w:r w:rsidR="00955048" w:rsidRPr="00243C32">
        <w:rPr>
          <w:rFonts w:asciiTheme="minorHAnsi" w:hAnsiTheme="minorHAnsi"/>
          <w:lang w:val="en-GB"/>
        </w:rPr>
        <w:t>The status of on-lent loans to SOEs</w:t>
      </w:r>
      <w:r w:rsidR="004A2FE1" w:rsidRPr="00243C32">
        <w:rPr>
          <w:rStyle w:val="FootnoteReference"/>
          <w:rFonts w:asciiTheme="minorHAnsi" w:hAnsiTheme="minorHAnsi"/>
          <w:lang w:val="en-GB"/>
        </w:rPr>
        <w:footnoteReference w:id="8"/>
      </w:r>
      <w:r w:rsidR="00955048" w:rsidRPr="00243C32">
        <w:rPr>
          <w:rFonts w:asciiTheme="minorHAnsi" w:hAnsiTheme="minorHAnsi"/>
          <w:lang w:val="en-GB"/>
        </w:rPr>
        <w:t xml:space="preserve"> as at 31 March 201</w:t>
      </w:r>
      <w:r w:rsidR="006E1EAF" w:rsidRPr="00243C32">
        <w:rPr>
          <w:rFonts w:asciiTheme="minorHAnsi" w:hAnsiTheme="minorHAnsi"/>
          <w:lang w:val="en-GB"/>
        </w:rPr>
        <w:t>8</w:t>
      </w:r>
      <w:r w:rsidR="00955048" w:rsidRPr="00243C32">
        <w:rPr>
          <w:rFonts w:asciiTheme="minorHAnsi" w:hAnsiTheme="minorHAnsi"/>
          <w:lang w:val="en-GB"/>
        </w:rPr>
        <w:t xml:space="preserve"> is indicated </w:t>
      </w:r>
      <w:r w:rsidR="00CF452B" w:rsidRPr="00243C32">
        <w:rPr>
          <w:rFonts w:asciiTheme="minorHAnsi" w:hAnsiTheme="minorHAnsi"/>
          <w:lang w:val="en-GB"/>
        </w:rPr>
        <w:t>in Table 9 below.</w:t>
      </w:r>
    </w:p>
    <w:p w14:paraId="033EF042" w14:textId="21D7DC55" w:rsidR="00281B45" w:rsidRPr="00D25BE7" w:rsidRDefault="00281B45" w:rsidP="00281B45">
      <w:pPr>
        <w:ind w:firstLine="426"/>
        <w:rPr>
          <w:rFonts w:asciiTheme="minorHAnsi" w:hAnsiTheme="minorHAnsi"/>
          <w:b/>
          <w:sz w:val="20"/>
          <w:lang w:val="en-GB"/>
        </w:rPr>
      </w:pPr>
      <w:r w:rsidRPr="00CF452B">
        <w:rPr>
          <w:rFonts w:asciiTheme="minorHAnsi" w:hAnsiTheme="minorHAnsi"/>
          <w:b/>
          <w:sz w:val="20"/>
          <w:lang w:val="en-GB"/>
        </w:rPr>
        <w:t xml:space="preserve">Table </w:t>
      </w:r>
      <w:r w:rsidR="00CF452B" w:rsidRPr="00CF452B">
        <w:rPr>
          <w:rFonts w:asciiTheme="minorHAnsi" w:hAnsiTheme="minorHAnsi"/>
          <w:b/>
          <w:sz w:val="20"/>
          <w:lang w:val="en-GB"/>
        </w:rPr>
        <w:t>9</w:t>
      </w:r>
      <w:r w:rsidRPr="00CF452B">
        <w:rPr>
          <w:rFonts w:asciiTheme="minorHAnsi" w:hAnsiTheme="minorHAnsi"/>
          <w:b/>
          <w:sz w:val="20"/>
          <w:lang w:val="en-GB"/>
        </w:rPr>
        <w:t xml:space="preserve">: Government </w:t>
      </w:r>
      <w:r w:rsidR="00AE3A24">
        <w:rPr>
          <w:rFonts w:asciiTheme="minorHAnsi" w:hAnsiTheme="minorHAnsi"/>
          <w:b/>
          <w:sz w:val="20"/>
          <w:lang w:val="en-GB"/>
        </w:rPr>
        <w:t>L</w:t>
      </w:r>
      <w:r w:rsidRPr="00CF452B">
        <w:rPr>
          <w:rFonts w:asciiTheme="minorHAnsi" w:hAnsiTheme="minorHAnsi"/>
          <w:b/>
          <w:sz w:val="20"/>
          <w:lang w:val="en-GB"/>
        </w:rPr>
        <w:t xml:space="preserve">oan </w:t>
      </w:r>
      <w:r w:rsidR="00AE3A24">
        <w:rPr>
          <w:rFonts w:asciiTheme="minorHAnsi" w:hAnsiTheme="minorHAnsi"/>
          <w:b/>
          <w:sz w:val="20"/>
          <w:lang w:val="en-GB"/>
        </w:rPr>
        <w:t>B</w:t>
      </w:r>
      <w:r w:rsidRPr="00CF452B">
        <w:rPr>
          <w:rFonts w:asciiTheme="minorHAnsi" w:hAnsiTheme="minorHAnsi"/>
          <w:b/>
          <w:sz w:val="20"/>
          <w:lang w:val="en-GB"/>
        </w:rPr>
        <w:t>alances with SOEs</w:t>
      </w:r>
    </w:p>
    <w:p w14:paraId="7F8B98A5" w14:textId="77777777" w:rsidR="000815F8" w:rsidRPr="00D25BE7" w:rsidRDefault="000815F8" w:rsidP="00281B45">
      <w:pPr>
        <w:ind w:firstLine="426"/>
        <w:rPr>
          <w:rFonts w:asciiTheme="minorHAnsi" w:hAnsiTheme="minorHAnsi"/>
          <w:b/>
          <w:sz w:val="20"/>
          <w:lang w:val="en-GB"/>
        </w:rPr>
      </w:pPr>
    </w:p>
    <w:tbl>
      <w:tblPr>
        <w:tblW w:w="10427" w:type="dxa"/>
        <w:jc w:val="center"/>
        <w:tblBorders>
          <w:top w:val="nil"/>
          <w:left w:val="nil"/>
          <w:right w:val="nil"/>
        </w:tblBorders>
        <w:tblLayout w:type="fixed"/>
        <w:tblLook w:val="0000" w:firstRow="0" w:lastRow="0" w:firstColumn="0" w:lastColumn="0" w:noHBand="0" w:noVBand="0"/>
      </w:tblPr>
      <w:tblGrid>
        <w:gridCol w:w="1702"/>
        <w:gridCol w:w="1520"/>
        <w:gridCol w:w="1441"/>
        <w:gridCol w:w="1575"/>
        <w:gridCol w:w="1307"/>
        <w:gridCol w:w="1441"/>
        <w:gridCol w:w="1441"/>
      </w:tblGrid>
      <w:tr w:rsidR="000E6070" w:rsidRPr="00E65609" w14:paraId="22E7B633" w14:textId="77777777" w:rsidTr="005218E0">
        <w:trPr>
          <w:tblHeade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377D91" w14:textId="77777777" w:rsidR="006E1EAF" w:rsidRPr="005218E0" w:rsidRDefault="006E1EAF" w:rsidP="000815F8">
            <w:pPr>
              <w:widowControl w:val="0"/>
              <w:autoSpaceDE w:val="0"/>
              <w:autoSpaceDN w:val="0"/>
              <w:adjustRightInd w:val="0"/>
              <w:spacing w:before="40" w:after="40"/>
              <w:jc w:val="center"/>
              <w:rPr>
                <w:rFonts w:asciiTheme="minorHAnsi" w:hAnsiTheme="minorHAnsi" w:cs="Arial"/>
                <w:color w:val="000000"/>
                <w:sz w:val="18"/>
                <w:szCs w:val="18"/>
              </w:rPr>
            </w:pPr>
            <w:r w:rsidRPr="005218E0">
              <w:rPr>
                <w:rFonts w:asciiTheme="minorHAnsi" w:hAnsiTheme="minorHAnsi" w:cs="Arial"/>
                <w:b/>
                <w:bCs/>
                <w:color w:val="000000"/>
                <w:sz w:val="18"/>
                <w:szCs w:val="18"/>
              </w:rPr>
              <w:t>SOE/Project name</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D8EBFC" w14:textId="77777777" w:rsidR="006E1EAF" w:rsidRPr="005218E0" w:rsidRDefault="006E1EAF" w:rsidP="000815F8">
            <w:pPr>
              <w:widowControl w:val="0"/>
              <w:autoSpaceDE w:val="0"/>
              <w:autoSpaceDN w:val="0"/>
              <w:adjustRightInd w:val="0"/>
              <w:spacing w:before="40" w:after="40"/>
              <w:ind w:left="170"/>
              <w:jc w:val="center"/>
              <w:rPr>
                <w:rFonts w:asciiTheme="minorHAnsi" w:hAnsiTheme="minorHAnsi" w:cs="Arial"/>
                <w:color w:val="000000"/>
                <w:sz w:val="18"/>
                <w:szCs w:val="18"/>
              </w:rPr>
            </w:pPr>
            <w:r w:rsidRPr="005218E0">
              <w:rPr>
                <w:rFonts w:asciiTheme="minorHAnsi" w:hAnsiTheme="minorHAnsi" w:cs="Arial"/>
                <w:b/>
                <w:bCs/>
                <w:color w:val="000000"/>
                <w:sz w:val="18"/>
                <w:szCs w:val="18"/>
              </w:rPr>
              <w:t>Opening Balance 1.04.2017</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8E1E0E2" w14:textId="77777777" w:rsidR="006E1EAF" w:rsidRPr="005218E0" w:rsidRDefault="006E1EAF" w:rsidP="000815F8">
            <w:pPr>
              <w:widowControl w:val="0"/>
              <w:autoSpaceDE w:val="0"/>
              <w:autoSpaceDN w:val="0"/>
              <w:adjustRightInd w:val="0"/>
              <w:spacing w:before="40" w:after="40"/>
              <w:jc w:val="center"/>
              <w:rPr>
                <w:rFonts w:asciiTheme="minorHAnsi" w:hAnsiTheme="minorHAnsi" w:cs="Arial"/>
                <w:color w:val="000000"/>
                <w:sz w:val="18"/>
                <w:szCs w:val="18"/>
              </w:rPr>
            </w:pPr>
            <w:r w:rsidRPr="005218E0">
              <w:rPr>
                <w:rFonts w:asciiTheme="minorHAnsi" w:hAnsiTheme="minorHAnsi" w:cs="Arial"/>
                <w:b/>
                <w:bCs/>
                <w:color w:val="000000"/>
                <w:sz w:val="18"/>
                <w:szCs w:val="18"/>
              </w:rPr>
              <w:t>Principal Payments</w:t>
            </w: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7D431A" w14:textId="77777777" w:rsidR="006E1EAF" w:rsidRPr="005218E0" w:rsidRDefault="006E1EAF" w:rsidP="000815F8">
            <w:pPr>
              <w:widowControl w:val="0"/>
              <w:autoSpaceDE w:val="0"/>
              <w:autoSpaceDN w:val="0"/>
              <w:adjustRightInd w:val="0"/>
              <w:spacing w:before="40" w:after="40"/>
              <w:ind w:left="170"/>
              <w:jc w:val="center"/>
              <w:rPr>
                <w:rFonts w:asciiTheme="minorHAnsi" w:hAnsiTheme="minorHAnsi" w:cs="Arial"/>
                <w:color w:val="000000"/>
                <w:sz w:val="18"/>
                <w:szCs w:val="18"/>
              </w:rPr>
            </w:pPr>
            <w:r w:rsidRPr="005218E0">
              <w:rPr>
                <w:rFonts w:asciiTheme="minorHAnsi" w:hAnsiTheme="minorHAnsi" w:cs="Arial"/>
                <w:b/>
                <w:bCs/>
                <w:color w:val="000000"/>
                <w:sz w:val="18"/>
                <w:szCs w:val="18"/>
              </w:rPr>
              <w:t>Interest Paid</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C83FFCE" w14:textId="77777777" w:rsidR="006E1EAF" w:rsidRPr="005218E0" w:rsidRDefault="006E1EAF" w:rsidP="000815F8">
            <w:pPr>
              <w:widowControl w:val="0"/>
              <w:autoSpaceDE w:val="0"/>
              <w:autoSpaceDN w:val="0"/>
              <w:adjustRightInd w:val="0"/>
              <w:spacing w:before="40" w:after="40"/>
              <w:ind w:left="170"/>
              <w:jc w:val="center"/>
              <w:rPr>
                <w:rFonts w:asciiTheme="minorHAnsi" w:hAnsiTheme="minorHAnsi" w:cs="Arial"/>
                <w:color w:val="000000"/>
                <w:sz w:val="18"/>
                <w:szCs w:val="18"/>
              </w:rPr>
            </w:pPr>
            <w:r w:rsidRPr="005218E0">
              <w:rPr>
                <w:rFonts w:asciiTheme="minorHAnsi" w:hAnsiTheme="minorHAnsi" w:cs="Arial"/>
                <w:b/>
                <w:bCs/>
                <w:color w:val="000000"/>
                <w:sz w:val="18"/>
                <w:szCs w:val="18"/>
              </w:rPr>
              <w:t>Closing</w:t>
            </w:r>
            <w:r w:rsidRPr="005218E0">
              <w:rPr>
                <w:rFonts w:asciiTheme="minorHAnsi" w:hAnsiTheme="minorHAnsi" w:cs="Arial"/>
                <w:color w:val="000000"/>
                <w:sz w:val="18"/>
                <w:szCs w:val="18"/>
              </w:rPr>
              <w:t xml:space="preserve"> </w:t>
            </w:r>
            <w:r w:rsidRPr="005218E0">
              <w:rPr>
                <w:rFonts w:asciiTheme="minorHAnsi" w:hAnsiTheme="minorHAnsi" w:cs="Arial"/>
                <w:b/>
                <w:bCs/>
                <w:color w:val="000000"/>
                <w:sz w:val="18"/>
                <w:szCs w:val="18"/>
              </w:rPr>
              <w:t>balance 31.03.2018</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EF966FE" w14:textId="77777777" w:rsidR="006E1EAF" w:rsidRPr="005218E0" w:rsidRDefault="006E1EAF" w:rsidP="000815F8">
            <w:pPr>
              <w:widowControl w:val="0"/>
              <w:autoSpaceDE w:val="0"/>
              <w:autoSpaceDN w:val="0"/>
              <w:adjustRightInd w:val="0"/>
              <w:spacing w:before="40" w:after="40"/>
              <w:jc w:val="center"/>
              <w:rPr>
                <w:rFonts w:asciiTheme="minorHAnsi" w:hAnsiTheme="minorHAnsi" w:cs="Arial"/>
                <w:color w:val="000000"/>
                <w:sz w:val="18"/>
                <w:szCs w:val="18"/>
              </w:rPr>
            </w:pPr>
            <w:r w:rsidRPr="005218E0">
              <w:rPr>
                <w:rFonts w:asciiTheme="minorHAnsi" w:hAnsiTheme="minorHAnsi" w:cs="Arial"/>
                <w:b/>
                <w:bCs/>
                <w:color w:val="000000"/>
                <w:sz w:val="18"/>
                <w:szCs w:val="18"/>
              </w:rPr>
              <w:t>Arrears of Principal</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F0D9FE" w14:textId="77777777" w:rsidR="006E1EAF" w:rsidRPr="005218E0" w:rsidRDefault="006E1EAF" w:rsidP="000815F8">
            <w:pPr>
              <w:widowControl w:val="0"/>
              <w:autoSpaceDE w:val="0"/>
              <w:autoSpaceDN w:val="0"/>
              <w:adjustRightInd w:val="0"/>
              <w:spacing w:before="40" w:after="40"/>
              <w:ind w:left="170"/>
              <w:jc w:val="center"/>
              <w:rPr>
                <w:rFonts w:asciiTheme="minorHAnsi" w:hAnsiTheme="minorHAnsi" w:cs="Arial"/>
                <w:color w:val="000000"/>
                <w:sz w:val="18"/>
                <w:szCs w:val="18"/>
              </w:rPr>
            </w:pPr>
            <w:r w:rsidRPr="005218E0">
              <w:rPr>
                <w:rFonts w:asciiTheme="minorHAnsi" w:hAnsiTheme="minorHAnsi" w:cs="Arial"/>
                <w:b/>
                <w:bCs/>
                <w:color w:val="000000"/>
                <w:sz w:val="18"/>
                <w:szCs w:val="18"/>
              </w:rPr>
              <w:t>Arrears of interest</w:t>
            </w:r>
          </w:p>
        </w:tc>
      </w:tr>
      <w:tr w:rsidR="006E1EAF" w:rsidRPr="00E65609" w14:paraId="3AC9CAA8" w14:textId="77777777" w:rsidTr="005218E0">
        <w:tblPrEx>
          <w:tblBorders>
            <w:top w:val="none" w:sz="0" w:space="0" w:color="auto"/>
          </w:tblBorders>
        </w:tblPrEx>
        <w:trPr>
          <w:jc w:val="center"/>
        </w:trPr>
        <w:tc>
          <w:tcPr>
            <w:tcW w:w="10427" w:type="dxa"/>
            <w:gridSpan w:val="7"/>
            <w:tcBorders>
              <w:top w:val="single" w:sz="4" w:space="0" w:color="000000"/>
              <w:left w:val="single" w:sz="4" w:space="0" w:color="000000"/>
              <w:bottom w:val="single" w:sz="4" w:space="0" w:color="000000"/>
              <w:right w:val="single" w:sz="4" w:space="0" w:color="000000"/>
            </w:tcBorders>
            <w:shd w:val="clear" w:color="auto" w:fill="CCFFFF"/>
            <w:tcMar>
              <w:top w:w="20" w:type="nil"/>
              <w:left w:w="20" w:type="nil"/>
              <w:bottom w:w="20" w:type="nil"/>
              <w:right w:w="20" w:type="nil"/>
            </w:tcMar>
            <w:vAlign w:val="center"/>
          </w:tcPr>
          <w:p w14:paraId="2E457C99" w14:textId="77777777" w:rsidR="006E1EAF" w:rsidRPr="005218E0" w:rsidRDefault="006E1EAF" w:rsidP="000815F8">
            <w:pPr>
              <w:widowControl w:val="0"/>
              <w:autoSpaceDE w:val="0"/>
              <w:autoSpaceDN w:val="0"/>
              <w:adjustRightInd w:val="0"/>
              <w:spacing w:before="60" w:after="60"/>
              <w:ind w:left="170"/>
              <w:rPr>
                <w:rFonts w:asciiTheme="minorHAnsi" w:hAnsiTheme="minorHAnsi" w:cs="Arial"/>
                <w:b/>
                <w:color w:val="000000"/>
                <w:sz w:val="18"/>
                <w:szCs w:val="18"/>
              </w:rPr>
            </w:pPr>
            <w:r w:rsidRPr="005218E0">
              <w:rPr>
                <w:rFonts w:asciiTheme="minorHAnsi" w:hAnsiTheme="minorHAnsi" w:cs="Arial"/>
                <w:b/>
                <w:color w:val="000000"/>
                <w:sz w:val="18"/>
                <w:szCs w:val="18"/>
              </w:rPr>
              <w:t>LNDC</w:t>
            </w:r>
          </w:p>
        </w:tc>
      </w:tr>
      <w:tr w:rsidR="000E6070" w:rsidRPr="00E65609" w14:paraId="2D5FFCA6"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A705709" w14:textId="77777777" w:rsidR="006E1EAF" w:rsidRPr="005218E0" w:rsidRDefault="006E1EAF" w:rsidP="00187193">
            <w:pPr>
              <w:widowControl w:val="0"/>
              <w:autoSpaceDE w:val="0"/>
              <w:autoSpaceDN w:val="0"/>
              <w:adjustRightInd w:val="0"/>
              <w:spacing w:before="60" w:after="60"/>
              <w:ind w:left="-57"/>
              <w:jc w:val="left"/>
              <w:rPr>
                <w:rFonts w:asciiTheme="minorHAnsi" w:hAnsiTheme="minorHAnsi" w:cs="Arial"/>
                <w:color w:val="000000"/>
                <w:sz w:val="18"/>
                <w:szCs w:val="18"/>
              </w:rPr>
            </w:pPr>
            <w:r w:rsidRPr="005218E0">
              <w:rPr>
                <w:rFonts w:asciiTheme="minorHAnsi" w:hAnsiTheme="minorHAnsi" w:cs="Arial"/>
                <w:color w:val="000000"/>
                <w:sz w:val="18"/>
                <w:szCs w:val="18"/>
              </w:rPr>
              <w:t xml:space="preserve">ODA 2 </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2C7E376" w14:textId="77777777" w:rsidR="006E1EAF" w:rsidRPr="005218E0"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6E14FC" w14:textId="77777777" w:rsidR="006E1EAF" w:rsidRPr="005218E0"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27EFC7"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noProof/>
                <w:color w:val="000000"/>
                <w:sz w:val="18"/>
                <w:szCs w:val="18"/>
              </w:rPr>
              <w:drawing>
                <wp:inline distT="0" distB="0" distL="0" distR="0" wp14:anchorId="527F8346" wp14:editId="00DBF252">
                  <wp:extent cx="10160" cy="101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5218E0">
              <w:rPr>
                <w:rFonts w:asciiTheme="minorHAnsi" w:hAnsiTheme="minorHAnsi" w:cs="Arial"/>
                <w:color w:val="000000"/>
                <w:sz w:val="18"/>
                <w:szCs w:val="18"/>
              </w:rPr>
              <w:t xml:space="preserve"> </w:t>
            </w:r>
            <w:r w:rsidRPr="005218E0">
              <w:rPr>
                <w:rFonts w:asciiTheme="minorHAnsi" w:hAnsiTheme="minorHAnsi" w:cs="Arial"/>
                <w:noProof/>
                <w:color w:val="000000"/>
                <w:sz w:val="18"/>
                <w:szCs w:val="18"/>
              </w:rPr>
              <w:drawing>
                <wp:inline distT="0" distB="0" distL="0" distR="0" wp14:anchorId="10EBD7C2" wp14:editId="42C0E826">
                  <wp:extent cx="10160" cy="101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5218E0">
              <w:rPr>
                <w:rFonts w:asciiTheme="minorHAnsi" w:hAnsiTheme="minorHAnsi" w:cs="Arial"/>
                <w:color w:val="000000"/>
                <w:sz w:val="18"/>
                <w:szCs w:val="18"/>
              </w:rPr>
              <w:t xml:space="preserve">2,130 </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A264BE2" w14:textId="77777777" w:rsidR="006E1EAF" w:rsidRPr="005218E0"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39E57B"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noProof/>
                <w:color w:val="000000"/>
                <w:sz w:val="18"/>
                <w:szCs w:val="18"/>
              </w:rPr>
              <w:drawing>
                <wp:inline distT="0" distB="0" distL="0" distR="0" wp14:anchorId="7D96C165" wp14:editId="1B864212">
                  <wp:extent cx="10160" cy="101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5218E0">
              <w:rPr>
                <w:rFonts w:asciiTheme="minorHAnsi" w:hAnsiTheme="minorHAnsi" w:cs="Arial"/>
                <w:color w:val="000000"/>
                <w:sz w:val="18"/>
                <w:szCs w:val="18"/>
              </w:rPr>
              <w:t xml:space="preserve">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A258B5C"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2,130 </w:t>
            </w:r>
          </w:p>
        </w:tc>
      </w:tr>
      <w:tr w:rsidR="000E6070" w:rsidRPr="00E65609" w14:paraId="54893A0D"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6C36EF" w14:textId="77777777" w:rsidR="006E1EAF" w:rsidRPr="005218E0" w:rsidRDefault="006E1EAF" w:rsidP="00187193">
            <w:pPr>
              <w:widowControl w:val="0"/>
              <w:autoSpaceDE w:val="0"/>
              <w:autoSpaceDN w:val="0"/>
              <w:adjustRightInd w:val="0"/>
              <w:spacing w:before="60" w:after="60"/>
              <w:ind w:left="-57"/>
              <w:jc w:val="left"/>
              <w:rPr>
                <w:rFonts w:asciiTheme="minorHAnsi" w:hAnsiTheme="minorHAnsi" w:cs="Arial"/>
                <w:color w:val="000000"/>
                <w:sz w:val="18"/>
                <w:szCs w:val="18"/>
              </w:rPr>
            </w:pPr>
            <w:r w:rsidRPr="005218E0">
              <w:rPr>
                <w:rFonts w:asciiTheme="minorHAnsi" w:hAnsiTheme="minorHAnsi" w:cs="Arial"/>
                <w:color w:val="000000"/>
                <w:sz w:val="18"/>
                <w:szCs w:val="18"/>
              </w:rPr>
              <w:t xml:space="preserve">ODA 3 </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084455F" w14:textId="77777777" w:rsidR="006E1EAF" w:rsidRPr="005218E0"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65F91F"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 </w:t>
            </w: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12E92A"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1,137 </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87AE00" w14:textId="77777777" w:rsidR="006E1EAF" w:rsidRPr="005218E0"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2B0341"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9289280"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1,137 </w:t>
            </w:r>
          </w:p>
        </w:tc>
      </w:tr>
      <w:tr w:rsidR="000E6070" w:rsidRPr="00E65609" w14:paraId="194B7624"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84E0BC" w14:textId="77777777" w:rsidR="006E1EAF" w:rsidRPr="005218E0" w:rsidRDefault="006E1EAF" w:rsidP="00187193">
            <w:pPr>
              <w:widowControl w:val="0"/>
              <w:autoSpaceDE w:val="0"/>
              <w:autoSpaceDN w:val="0"/>
              <w:adjustRightInd w:val="0"/>
              <w:spacing w:before="60" w:after="60"/>
              <w:ind w:left="-57"/>
              <w:jc w:val="left"/>
              <w:rPr>
                <w:rFonts w:asciiTheme="minorHAnsi" w:hAnsiTheme="minorHAnsi" w:cs="Arial"/>
                <w:color w:val="000000"/>
                <w:sz w:val="18"/>
                <w:szCs w:val="18"/>
              </w:rPr>
            </w:pPr>
            <w:r w:rsidRPr="005218E0">
              <w:rPr>
                <w:rFonts w:asciiTheme="minorHAnsi" w:hAnsiTheme="minorHAnsi" w:cs="Arial"/>
                <w:color w:val="000000"/>
                <w:sz w:val="18"/>
                <w:szCs w:val="18"/>
              </w:rPr>
              <w:t xml:space="preserve">ODA 2nd Line of credit </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7AE683D"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761,627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E19AC5" w14:textId="77777777" w:rsidR="006E1EAF" w:rsidRPr="005218E0" w:rsidRDefault="006E1EAF" w:rsidP="000815F8">
            <w:pPr>
              <w:widowControl w:val="0"/>
              <w:autoSpaceDE w:val="0"/>
              <w:autoSpaceDN w:val="0"/>
              <w:adjustRightInd w:val="0"/>
              <w:spacing w:before="60" w:after="6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761,627 </w:t>
            </w: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1FB2A4C"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300,113 </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B9257F6" w14:textId="77777777" w:rsidR="006E1EAF" w:rsidRPr="005218E0"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845549A"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CB88CA"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314,619 </w:t>
            </w:r>
          </w:p>
        </w:tc>
      </w:tr>
      <w:tr w:rsidR="000E6070" w:rsidRPr="00E65609" w14:paraId="101D8047"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F0004DD" w14:textId="77777777" w:rsidR="006E1EAF" w:rsidRPr="005218E0" w:rsidRDefault="006E1EAF" w:rsidP="00187193">
            <w:pPr>
              <w:widowControl w:val="0"/>
              <w:autoSpaceDE w:val="0"/>
              <w:autoSpaceDN w:val="0"/>
              <w:adjustRightInd w:val="0"/>
              <w:spacing w:before="60" w:after="60"/>
              <w:ind w:left="-57"/>
              <w:jc w:val="left"/>
              <w:rPr>
                <w:rFonts w:asciiTheme="minorHAnsi" w:hAnsiTheme="minorHAnsi" w:cs="Arial"/>
                <w:color w:val="000000"/>
                <w:sz w:val="18"/>
                <w:szCs w:val="18"/>
              </w:rPr>
            </w:pPr>
            <w:r w:rsidRPr="005218E0">
              <w:rPr>
                <w:rFonts w:asciiTheme="minorHAnsi" w:hAnsiTheme="minorHAnsi" w:cs="Arial"/>
                <w:color w:val="000000"/>
                <w:sz w:val="18"/>
                <w:szCs w:val="18"/>
              </w:rPr>
              <w:t xml:space="preserve">IDA Infrastructure </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EC77E8F"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3,780,656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4EF990"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945,164 </w:t>
            </w: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C8B2FA"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1,258,604 </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86D400"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2,835,492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7FB9CD"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2,835,492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07B0FC"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2,504,340 </w:t>
            </w:r>
          </w:p>
        </w:tc>
      </w:tr>
      <w:tr w:rsidR="000E6070" w:rsidRPr="00E65609" w14:paraId="7CD62123"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CED745" w14:textId="77777777" w:rsidR="006E1EAF" w:rsidRPr="005218E0" w:rsidRDefault="006E1EAF" w:rsidP="00187193">
            <w:pPr>
              <w:widowControl w:val="0"/>
              <w:autoSpaceDE w:val="0"/>
              <w:autoSpaceDN w:val="0"/>
              <w:adjustRightInd w:val="0"/>
              <w:spacing w:before="60" w:after="60"/>
              <w:ind w:left="-57"/>
              <w:jc w:val="left"/>
              <w:rPr>
                <w:rFonts w:asciiTheme="minorHAnsi" w:hAnsiTheme="minorHAnsi" w:cs="Arial"/>
                <w:color w:val="000000"/>
                <w:sz w:val="18"/>
                <w:szCs w:val="18"/>
              </w:rPr>
            </w:pPr>
            <w:r w:rsidRPr="005218E0">
              <w:rPr>
                <w:rFonts w:asciiTheme="minorHAnsi" w:hAnsiTheme="minorHAnsi" w:cs="Arial"/>
                <w:color w:val="000000"/>
                <w:sz w:val="18"/>
                <w:szCs w:val="18"/>
              </w:rPr>
              <w:t xml:space="preserve">IDA 2400 Infrastructure </w:t>
            </w:r>
            <w:proofErr w:type="spellStart"/>
            <w:r w:rsidRPr="005218E0">
              <w:rPr>
                <w:rFonts w:asciiTheme="minorHAnsi" w:hAnsiTheme="minorHAnsi" w:cs="Arial"/>
                <w:color w:val="000000"/>
                <w:sz w:val="18"/>
                <w:szCs w:val="18"/>
              </w:rPr>
              <w:t>Eng</w:t>
            </w:r>
            <w:proofErr w:type="spellEnd"/>
            <w:r w:rsidRPr="005218E0">
              <w:rPr>
                <w:rFonts w:asciiTheme="minorHAnsi" w:hAnsiTheme="minorHAnsi" w:cs="Arial"/>
                <w:color w:val="000000"/>
                <w:sz w:val="18"/>
                <w:szCs w:val="18"/>
              </w:rPr>
              <w:t xml:space="preserve"> </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82543BD"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18,119,448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8A4830D"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 </w:t>
            </w: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4457F3"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noProof/>
                <w:color w:val="000000"/>
                <w:sz w:val="18"/>
                <w:szCs w:val="18"/>
              </w:rPr>
              <w:drawing>
                <wp:inline distT="0" distB="0" distL="0" distR="0" wp14:anchorId="08A1621E" wp14:editId="323DC781">
                  <wp:extent cx="10160" cy="101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5218E0">
              <w:rPr>
                <w:rFonts w:asciiTheme="minorHAnsi" w:hAnsiTheme="minorHAnsi" w:cs="Arial"/>
                <w:color w:val="000000"/>
                <w:sz w:val="18"/>
                <w:szCs w:val="18"/>
              </w:rPr>
              <w:t xml:space="preserve"> </w:t>
            </w:r>
            <w:r w:rsidRPr="005218E0">
              <w:rPr>
                <w:rFonts w:asciiTheme="minorHAnsi" w:hAnsiTheme="minorHAnsi" w:cs="Arial"/>
                <w:noProof/>
                <w:color w:val="000000"/>
                <w:sz w:val="18"/>
                <w:szCs w:val="18"/>
              </w:rPr>
              <w:drawing>
                <wp:inline distT="0" distB="0" distL="0" distR="0" wp14:anchorId="071B78F5" wp14:editId="43FC015B">
                  <wp:extent cx="10160" cy="101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5218E0">
              <w:rPr>
                <w:rFonts w:asciiTheme="minorHAnsi" w:hAnsiTheme="minorHAnsi" w:cs="Arial"/>
                <w:color w:val="000000"/>
                <w:sz w:val="18"/>
                <w:szCs w:val="18"/>
              </w:rPr>
              <w:t xml:space="preserve"> </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EED108"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18,119,448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6D5EBE1"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noProof/>
                <w:color w:val="000000"/>
                <w:sz w:val="18"/>
                <w:szCs w:val="18"/>
              </w:rPr>
              <w:drawing>
                <wp:inline distT="0" distB="0" distL="0" distR="0" wp14:anchorId="35CCDC4C" wp14:editId="0F2C1A17">
                  <wp:extent cx="10160" cy="101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5218E0">
              <w:rPr>
                <w:rFonts w:asciiTheme="minorHAnsi" w:hAnsiTheme="minorHAnsi" w:cs="Arial"/>
                <w:color w:val="000000"/>
                <w:sz w:val="18"/>
                <w:szCs w:val="18"/>
              </w:rPr>
              <w:t xml:space="preserve">6,116,583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C71DFD"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1,250,697 </w:t>
            </w:r>
          </w:p>
        </w:tc>
      </w:tr>
      <w:tr w:rsidR="000E6070" w:rsidRPr="00E65609" w14:paraId="506CEB0A"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C23EB1" w14:textId="77777777" w:rsidR="006E1EAF" w:rsidRPr="005218E0" w:rsidRDefault="006E1EAF" w:rsidP="00187193">
            <w:pPr>
              <w:widowControl w:val="0"/>
              <w:autoSpaceDE w:val="0"/>
              <w:autoSpaceDN w:val="0"/>
              <w:adjustRightInd w:val="0"/>
              <w:spacing w:before="60" w:after="60"/>
              <w:ind w:left="-57"/>
              <w:jc w:val="left"/>
              <w:rPr>
                <w:rFonts w:asciiTheme="minorHAnsi" w:hAnsiTheme="minorHAnsi" w:cs="Arial"/>
                <w:color w:val="000000"/>
                <w:sz w:val="18"/>
                <w:szCs w:val="18"/>
              </w:rPr>
            </w:pPr>
            <w:r w:rsidRPr="005218E0">
              <w:rPr>
                <w:rFonts w:asciiTheme="minorHAnsi" w:hAnsiTheme="minorHAnsi" w:cs="Arial"/>
                <w:color w:val="000000"/>
                <w:sz w:val="18"/>
                <w:szCs w:val="18"/>
              </w:rPr>
              <w:t xml:space="preserve">EIB M/S Printing </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FEBD342" w14:textId="77777777" w:rsidR="006E1EAF" w:rsidRPr="005218E0"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5146556" w14:textId="77777777" w:rsidR="006E1EAF" w:rsidRPr="005218E0"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A8096B2"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28,308 </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221E748" w14:textId="77777777" w:rsidR="006E1EAF" w:rsidRPr="005218E0"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9B28CFA" w14:textId="77777777" w:rsidR="006E1EAF" w:rsidRPr="005218E0"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1D701CD"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32,324 </w:t>
            </w:r>
          </w:p>
        </w:tc>
      </w:tr>
      <w:tr w:rsidR="000E6070" w:rsidRPr="00E65609" w14:paraId="693A72A1"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D81C91A" w14:textId="77777777" w:rsidR="006E1EAF" w:rsidRPr="005218E0" w:rsidRDefault="006E1EAF" w:rsidP="00187193">
            <w:pPr>
              <w:widowControl w:val="0"/>
              <w:autoSpaceDE w:val="0"/>
              <w:autoSpaceDN w:val="0"/>
              <w:adjustRightInd w:val="0"/>
              <w:spacing w:before="60" w:after="60"/>
              <w:ind w:left="-57"/>
              <w:jc w:val="left"/>
              <w:rPr>
                <w:rFonts w:asciiTheme="minorHAnsi" w:hAnsiTheme="minorHAnsi" w:cs="Arial"/>
                <w:color w:val="000000"/>
                <w:sz w:val="18"/>
                <w:szCs w:val="18"/>
              </w:rPr>
            </w:pPr>
            <w:r w:rsidRPr="005218E0">
              <w:rPr>
                <w:rFonts w:asciiTheme="minorHAnsi" w:hAnsiTheme="minorHAnsi" w:cs="Arial"/>
                <w:color w:val="000000"/>
                <w:sz w:val="18"/>
                <w:szCs w:val="18"/>
              </w:rPr>
              <w:t xml:space="preserve">ADB Line of credit </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0CEEEA"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1,939,174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6368C9B" w14:textId="77777777" w:rsidR="006E1EAF" w:rsidRPr="005218E0" w:rsidRDefault="006E1EAF" w:rsidP="000815F8">
            <w:pPr>
              <w:widowControl w:val="0"/>
              <w:autoSpaceDE w:val="0"/>
              <w:autoSpaceDN w:val="0"/>
              <w:adjustRightInd w:val="0"/>
              <w:spacing w:before="60" w:after="6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484,794 </w:t>
            </w: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5BCEB0E"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608,911 </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B923C46"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1,454,381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41F0826" w14:textId="77777777" w:rsidR="006E1EAF" w:rsidRPr="005218E0" w:rsidRDefault="006E1EAF" w:rsidP="000815F8">
            <w:pPr>
              <w:widowControl w:val="0"/>
              <w:autoSpaceDE w:val="0"/>
              <w:autoSpaceDN w:val="0"/>
              <w:adjustRightInd w:val="0"/>
              <w:spacing w:before="60" w:after="6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1,454,381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884E8E"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606,269 </w:t>
            </w:r>
          </w:p>
        </w:tc>
      </w:tr>
      <w:tr w:rsidR="000E6070" w:rsidRPr="00E65609" w14:paraId="0421AB33"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24C6A8D" w14:textId="77777777" w:rsidR="006E1EAF" w:rsidRPr="005218E0" w:rsidRDefault="006E1EAF" w:rsidP="00187193">
            <w:pPr>
              <w:widowControl w:val="0"/>
              <w:autoSpaceDE w:val="0"/>
              <w:autoSpaceDN w:val="0"/>
              <w:adjustRightInd w:val="0"/>
              <w:spacing w:before="60" w:after="60"/>
              <w:ind w:left="-57"/>
              <w:jc w:val="left"/>
              <w:rPr>
                <w:rFonts w:asciiTheme="minorHAnsi" w:hAnsiTheme="minorHAnsi" w:cs="Arial"/>
                <w:color w:val="000000"/>
                <w:sz w:val="18"/>
                <w:szCs w:val="18"/>
              </w:rPr>
            </w:pPr>
            <w:r w:rsidRPr="005218E0">
              <w:rPr>
                <w:rFonts w:asciiTheme="minorHAnsi" w:hAnsiTheme="minorHAnsi" w:cs="Arial"/>
                <w:color w:val="000000"/>
                <w:sz w:val="18"/>
                <w:szCs w:val="18"/>
              </w:rPr>
              <w:t xml:space="preserve">Basotho Cannery </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A05174" w14:textId="77777777" w:rsidR="006E1EAF" w:rsidRPr="005218E0"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961ABC1" w14:textId="77777777" w:rsidR="006E1EAF" w:rsidRPr="005218E0"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06E913"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32,455 </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284F32" w14:textId="77777777" w:rsidR="006E1EAF" w:rsidRPr="005218E0"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4733470" w14:textId="77777777" w:rsidR="006E1EAF" w:rsidRPr="005218E0"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2AF8F84" w14:textId="77777777" w:rsidR="006E1EAF" w:rsidRPr="005218E0"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5218E0">
              <w:rPr>
                <w:rFonts w:asciiTheme="minorHAnsi" w:hAnsiTheme="minorHAnsi" w:cs="Arial"/>
                <w:color w:val="000000"/>
                <w:sz w:val="18"/>
                <w:szCs w:val="18"/>
              </w:rPr>
              <w:t xml:space="preserve">33,058 </w:t>
            </w:r>
          </w:p>
        </w:tc>
      </w:tr>
      <w:tr w:rsidR="000E6070" w:rsidRPr="00E65609" w14:paraId="20C805A5"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AB17AC1" w14:textId="77777777" w:rsidR="006E1EAF" w:rsidRPr="00324BF9" w:rsidRDefault="006E1EAF" w:rsidP="00187193">
            <w:pPr>
              <w:widowControl w:val="0"/>
              <w:autoSpaceDE w:val="0"/>
              <w:autoSpaceDN w:val="0"/>
              <w:adjustRightInd w:val="0"/>
              <w:spacing w:before="60" w:after="60"/>
              <w:ind w:left="-57"/>
              <w:jc w:val="left"/>
              <w:rPr>
                <w:rFonts w:asciiTheme="minorHAnsi" w:hAnsiTheme="minorHAnsi" w:cs="Arial"/>
                <w:color w:val="000000"/>
                <w:sz w:val="18"/>
                <w:szCs w:val="18"/>
              </w:rPr>
            </w:pPr>
            <w:proofErr w:type="spellStart"/>
            <w:r w:rsidRPr="00324BF9">
              <w:rPr>
                <w:rFonts w:asciiTheme="minorHAnsi" w:hAnsiTheme="minorHAnsi" w:cs="Arial"/>
                <w:color w:val="000000"/>
                <w:sz w:val="18"/>
                <w:szCs w:val="18"/>
              </w:rPr>
              <w:t>Thetsane</w:t>
            </w:r>
            <w:proofErr w:type="spellEnd"/>
            <w:r w:rsidRPr="00324BF9">
              <w:rPr>
                <w:rFonts w:asciiTheme="minorHAnsi" w:hAnsiTheme="minorHAnsi" w:cs="Arial"/>
                <w:color w:val="000000"/>
                <w:sz w:val="18"/>
                <w:szCs w:val="18"/>
              </w:rPr>
              <w:t xml:space="preserve"> (</w:t>
            </w:r>
            <w:proofErr w:type="spellStart"/>
            <w:r w:rsidRPr="00324BF9">
              <w:rPr>
                <w:rFonts w:asciiTheme="minorHAnsi" w:hAnsiTheme="minorHAnsi" w:cs="Arial"/>
                <w:color w:val="000000"/>
                <w:sz w:val="18"/>
                <w:szCs w:val="18"/>
              </w:rPr>
              <w:t>Nieng</w:t>
            </w:r>
            <w:proofErr w:type="spellEnd"/>
            <w:r w:rsidRPr="00324BF9">
              <w:rPr>
                <w:rFonts w:asciiTheme="minorHAnsi" w:hAnsiTheme="minorHAnsi" w:cs="Arial"/>
                <w:color w:val="000000"/>
                <w:sz w:val="18"/>
                <w:szCs w:val="18"/>
              </w:rPr>
              <w:t xml:space="preserve"> </w:t>
            </w:r>
            <w:proofErr w:type="spellStart"/>
            <w:r w:rsidRPr="00324BF9">
              <w:rPr>
                <w:rFonts w:asciiTheme="minorHAnsi" w:hAnsiTheme="minorHAnsi" w:cs="Arial"/>
                <w:color w:val="000000"/>
                <w:sz w:val="18"/>
                <w:szCs w:val="18"/>
              </w:rPr>
              <w:t>Hsing</w:t>
            </w:r>
            <w:proofErr w:type="spellEnd"/>
            <w:r w:rsidRPr="00324BF9">
              <w:rPr>
                <w:rFonts w:asciiTheme="minorHAnsi" w:hAnsiTheme="minorHAnsi" w:cs="Arial"/>
                <w:color w:val="000000"/>
                <w:sz w:val="18"/>
                <w:szCs w:val="18"/>
              </w:rPr>
              <w:t xml:space="preserve">) </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BEEC92" w14:textId="77777777" w:rsidR="006E1EAF" w:rsidRPr="00324BF9"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8866832" w14:textId="77777777" w:rsidR="006E1EAF" w:rsidRPr="00324BF9"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75800C2" w14:textId="77777777" w:rsidR="006E1EAF" w:rsidRPr="00324BF9"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324BF9">
              <w:rPr>
                <w:rFonts w:asciiTheme="minorHAnsi" w:hAnsiTheme="minorHAnsi" w:cs="Arial"/>
                <w:color w:val="000000"/>
                <w:sz w:val="18"/>
                <w:szCs w:val="18"/>
              </w:rPr>
              <w:t xml:space="preserve">9,324 </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21EDF8" w14:textId="77777777" w:rsidR="006E1EAF" w:rsidRPr="00324BF9"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EB2EE41" w14:textId="77777777" w:rsidR="006E1EAF" w:rsidRPr="00324BF9"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16AFF11" w14:textId="77777777" w:rsidR="006E1EAF" w:rsidRPr="00324BF9"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324BF9">
              <w:rPr>
                <w:rFonts w:asciiTheme="minorHAnsi" w:hAnsiTheme="minorHAnsi" w:cs="Arial"/>
                <w:color w:val="000000"/>
                <w:sz w:val="18"/>
                <w:szCs w:val="18"/>
              </w:rPr>
              <w:t xml:space="preserve">9,497 </w:t>
            </w:r>
          </w:p>
        </w:tc>
      </w:tr>
      <w:tr w:rsidR="000E6070" w:rsidRPr="00E65609" w14:paraId="29836B0A"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8D55F2" w14:textId="77777777" w:rsidR="006E1EAF" w:rsidRPr="00187193" w:rsidRDefault="006E1EAF" w:rsidP="000815F8">
            <w:pPr>
              <w:widowControl w:val="0"/>
              <w:autoSpaceDE w:val="0"/>
              <w:autoSpaceDN w:val="0"/>
              <w:adjustRightInd w:val="0"/>
              <w:spacing w:before="60" w:after="60"/>
              <w:ind w:left="-57"/>
              <w:rPr>
                <w:rFonts w:asciiTheme="minorHAnsi" w:hAnsiTheme="minorHAnsi" w:cs="Arial"/>
                <w:color w:val="000000"/>
                <w:sz w:val="18"/>
                <w:szCs w:val="18"/>
              </w:rPr>
            </w:pPr>
            <w:proofErr w:type="spellStart"/>
            <w:r w:rsidRPr="00187193">
              <w:rPr>
                <w:rFonts w:asciiTheme="minorHAnsi" w:hAnsiTheme="minorHAnsi" w:cs="Arial"/>
                <w:color w:val="000000"/>
                <w:sz w:val="18"/>
                <w:szCs w:val="18"/>
              </w:rPr>
              <w:t>Tikoe</w:t>
            </w:r>
            <w:proofErr w:type="spellEnd"/>
            <w:r w:rsidRPr="00187193">
              <w:rPr>
                <w:rFonts w:asciiTheme="minorHAnsi" w:hAnsiTheme="minorHAnsi" w:cs="Arial"/>
                <w:color w:val="000000"/>
                <w:sz w:val="18"/>
                <w:szCs w:val="18"/>
              </w:rPr>
              <w:t xml:space="preserve"> Factory Shells </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D26F7F0"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51,000,000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B026F8E"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3,100,000 </w:t>
            </w: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77E6B5C"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noProof/>
                <w:color w:val="000000"/>
                <w:sz w:val="18"/>
                <w:szCs w:val="18"/>
              </w:rPr>
              <w:drawing>
                <wp:inline distT="0" distB="0" distL="0" distR="0" wp14:anchorId="29F1ACF6" wp14:editId="37853395">
                  <wp:extent cx="10160" cy="1016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87193">
              <w:rPr>
                <w:rFonts w:asciiTheme="minorHAnsi" w:hAnsiTheme="minorHAnsi" w:cs="Arial"/>
                <w:color w:val="000000"/>
                <w:sz w:val="18"/>
                <w:szCs w:val="18"/>
              </w:rPr>
              <w:t xml:space="preserve"> </w:t>
            </w:r>
            <w:r w:rsidRPr="00187193">
              <w:rPr>
                <w:rFonts w:asciiTheme="minorHAnsi" w:hAnsiTheme="minorHAnsi" w:cs="Arial"/>
                <w:noProof/>
                <w:color w:val="000000"/>
                <w:sz w:val="18"/>
                <w:szCs w:val="18"/>
              </w:rPr>
              <w:drawing>
                <wp:inline distT="0" distB="0" distL="0" distR="0" wp14:anchorId="0C18A948" wp14:editId="2922F3F1">
                  <wp:extent cx="10160" cy="101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87193">
              <w:rPr>
                <w:rFonts w:asciiTheme="minorHAnsi" w:hAnsiTheme="minorHAnsi" w:cs="Arial"/>
                <w:color w:val="000000"/>
                <w:sz w:val="18"/>
                <w:szCs w:val="18"/>
              </w:rPr>
              <w:t xml:space="preserve">3,044,500  </w:t>
            </w:r>
            <w:r w:rsidRPr="00187193">
              <w:rPr>
                <w:rFonts w:asciiTheme="minorHAnsi" w:hAnsiTheme="minorHAnsi" w:cs="Arial"/>
                <w:noProof/>
                <w:color w:val="000000"/>
                <w:sz w:val="18"/>
                <w:szCs w:val="18"/>
              </w:rPr>
              <w:drawing>
                <wp:inline distT="0" distB="0" distL="0" distR="0" wp14:anchorId="3CF534A6" wp14:editId="25F1A4D0">
                  <wp:extent cx="10160" cy="101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87193">
              <w:rPr>
                <w:rFonts w:asciiTheme="minorHAnsi" w:hAnsiTheme="minorHAnsi" w:cs="Arial"/>
                <w:color w:val="000000"/>
                <w:sz w:val="18"/>
                <w:szCs w:val="18"/>
              </w:rPr>
              <w:t xml:space="preserve"> </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E97AEC"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47,900,000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1D62B0"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noProof/>
                <w:color w:val="000000"/>
                <w:sz w:val="18"/>
                <w:szCs w:val="18"/>
              </w:rPr>
              <w:drawing>
                <wp:inline distT="0" distB="0" distL="0" distR="0" wp14:anchorId="424C979A" wp14:editId="0F60D932">
                  <wp:extent cx="10160" cy="1016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87193">
              <w:rPr>
                <w:rFonts w:asciiTheme="minorHAnsi" w:hAnsiTheme="minorHAnsi" w:cs="Arial"/>
                <w:color w:val="000000"/>
                <w:sz w:val="18"/>
                <w:szCs w:val="18"/>
              </w:rPr>
              <w:t xml:space="preserve">1,900,000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5FC132"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2,805,000 </w:t>
            </w:r>
          </w:p>
        </w:tc>
      </w:tr>
      <w:tr w:rsidR="000E6070" w:rsidRPr="00E65609" w14:paraId="52C7F191"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AE2A3D" w14:textId="77777777" w:rsidR="006E1EAF" w:rsidRPr="00187193" w:rsidRDefault="006E1EAF" w:rsidP="000815F8">
            <w:pPr>
              <w:widowControl w:val="0"/>
              <w:autoSpaceDE w:val="0"/>
              <w:autoSpaceDN w:val="0"/>
              <w:adjustRightInd w:val="0"/>
              <w:spacing w:before="60" w:after="60"/>
              <w:ind w:left="-57"/>
              <w:rPr>
                <w:rFonts w:asciiTheme="minorHAnsi" w:hAnsiTheme="minorHAnsi" w:cs="Arial"/>
                <w:color w:val="000000"/>
                <w:sz w:val="18"/>
                <w:szCs w:val="18"/>
              </w:rPr>
            </w:pPr>
            <w:r w:rsidRPr="00187193">
              <w:rPr>
                <w:rFonts w:asciiTheme="minorHAnsi" w:hAnsiTheme="minorHAnsi" w:cs="Arial"/>
                <w:color w:val="000000"/>
                <w:sz w:val="18"/>
                <w:szCs w:val="18"/>
              </w:rPr>
              <w:t xml:space="preserve">CGM </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972434"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15,000,000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54A1A7"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3,000,000 </w:t>
            </w: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CA5771"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noProof/>
                <w:color w:val="000000"/>
                <w:sz w:val="18"/>
                <w:szCs w:val="18"/>
              </w:rPr>
              <w:drawing>
                <wp:inline distT="0" distB="0" distL="0" distR="0" wp14:anchorId="11791C5F" wp14:editId="6E422DBE">
                  <wp:extent cx="10160" cy="101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87193">
              <w:rPr>
                <w:rFonts w:asciiTheme="minorHAnsi" w:hAnsiTheme="minorHAnsi" w:cs="Arial"/>
                <w:color w:val="000000"/>
                <w:sz w:val="18"/>
                <w:szCs w:val="18"/>
              </w:rPr>
              <w:t xml:space="preserve"> </w:t>
            </w:r>
            <w:r w:rsidRPr="00187193">
              <w:rPr>
                <w:rFonts w:asciiTheme="minorHAnsi" w:hAnsiTheme="minorHAnsi" w:cs="Arial"/>
                <w:noProof/>
                <w:color w:val="000000"/>
                <w:sz w:val="18"/>
                <w:szCs w:val="18"/>
              </w:rPr>
              <w:drawing>
                <wp:inline distT="0" distB="0" distL="0" distR="0" wp14:anchorId="7BE1CBEE" wp14:editId="205957AF">
                  <wp:extent cx="10160" cy="101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87193">
              <w:rPr>
                <w:rFonts w:asciiTheme="minorHAnsi" w:hAnsiTheme="minorHAnsi" w:cs="Arial"/>
                <w:color w:val="000000"/>
                <w:sz w:val="18"/>
                <w:szCs w:val="18"/>
              </w:rPr>
              <w:t xml:space="preserve"> </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894BE1"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12,000,000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E30ACF3"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6,000,000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67BCF0" w14:textId="77777777" w:rsidR="006E1EAF" w:rsidRPr="00187193" w:rsidRDefault="006E1EAF" w:rsidP="00D25BE7">
            <w:pPr>
              <w:widowControl w:val="0"/>
              <w:autoSpaceDE w:val="0"/>
              <w:autoSpaceDN w:val="0"/>
              <w:adjustRightInd w:val="0"/>
              <w:spacing w:before="60" w:after="60" w:line="276" w:lineRule="auto"/>
              <w:ind w:left="-187"/>
              <w:jc w:val="right"/>
              <w:rPr>
                <w:rFonts w:asciiTheme="minorHAnsi" w:hAnsiTheme="minorHAnsi" w:cs="Arial"/>
                <w:color w:val="000000"/>
                <w:sz w:val="18"/>
                <w:szCs w:val="18"/>
              </w:rPr>
            </w:pPr>
          </w:p>
        </w:tc>
      </w:tr>
      <w:tr w:rsidR="000E6070" w:rsidRPr="00E65609" w14:paraId="1616D70B"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B8B3239" w14:textId="77777777" w:rsidR="006E1EAF" w:rsidRPr="00187193" w:rsidRDefault="006E1EAF" w:rsidP="00AE3A24">
            <w:pPr>
              <w:widowControl w:val="0"/>
              <w:autoSpaceDE w:val="0"/>
              <w:autoSpaceDN w:val="0"/>
              <w:adjustRightInd w:val="0"/>
              <w:spacing w:before="60" w:after="60"/>
              <w:ind w:left="-57"/>
              <w:jc w:val="left"/>
              <w:rPr>
                <w:rFonts w:asciiTheme="minorHAnsi" w:hAnsiTheme="minorHAnsi" w:cs="Arial"/>
                <w:color w:val="000000"/>
                <w:sz w:val="18"/>
                <w:szCs w:val="18"/>
              </w:rPr>
            </w:pPr>
            <w:proofErr w:type="spellStart"/>
            <w:r w:rsidRPr="00187193">
              <w:rPr>
                <w:rFonts w:asciiTheme="minorHAnsi" w:hAnsiTheme="minorHAnsi" w:cs="Arial"/>
                <w:color w:val="000000"/>
                <w:sz w:val="18"/>
                <w:szCs w:val="18"/>
              </w:rPr>
              <w:t>Tikoe</w:t>
            </w:r>
            <w:proofErr w:type="spellEnd"/>
            <w:r w:rsidRPr="00187193">
              <w:rPr>
                <w:rFonts w:asciiTheme="minorHAnsi" w:hAnsiTheme="minorHAnsi" w:cs="Arial"/>
                <w:color w:val="000000"/>
                <w:sz w:val="18"/>
                <w:szCs w:val="18"/>
              </w:rPr>
              <w:t xml:space="preserve"> Phase 2 factory Shells </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1299CA"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202,789,827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2A28F23" w14:textId="77777777" w:rsidR="006E1EAF" w:rsidRPr="00187193" w:rsidRDefault="006E1EAF" w:rsidP="00D25BE7">
            <w:pPr>
              <w:widowControl w:val="0"/>
              <w:autoSpaceDE w:val="0"/>
              <w:autoSpaceDN w:val="0"/>
              <w:adjustRightInd w:val="0"/>
              <w:spacing w:before="60" w:after="60" w:line="276" w:lineRule="auto"/>
              <w:ind w:left="-187"/>
              <w:jc w:val="right"/>
              <w:rPr>
                <w:rFonts w:asciiTheme="minorHAnsi" w:hAnsiTheme="minorHAnsi" w:cs="Arial"/>
                <w:color w:val="000000"/>
                <w:sz w:val="18"/>
                <w:szCs w:val="18"/>
              </w:rPr>
            </w:pP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59E066" w14:textId="77777777" w:rsidR="006E1EAF" w:rsidRPr="00187193" w:rsidRDefault="006E1EAF" w:rsidP="00D25BE7">
            <w:pPr>
              <w:widowControl w:val="0"/>
              <w:autoSpaceDE w:val="0"/>
              <w:autoSpaceDN w:val="0"/>
              <w:adjustRightInd w:val="0"/>
              <w:spacing w:before="60" w:after="60" w:line="276" w:lineRule="auto"/>
              <w:ind w:left="-187"/>
              <w:jc w:val="right"/>
              <w:rPr>
                <w:rFonts w:asciiTheme="minorHAnsi" w:hAnsiTheme="minorHAnsi" w:cs="Arial"/>
                <w:color w:val="000000"/>
                <w:sz w:val="18"/>
                <w:szCs w:val="18"/>
              </w:rPr>
            </w:pP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0262BF"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202,789,827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933459" w14:textId="77777777" w:rsidR="006E1EAF" w:rsidRPr="00187193" w:rsidRDefault="006E1EAF" w:rsidP="00D25BE7">
            <w:pPr>
              <w:widowControl w:val="0"/>
              <w:autoSpaceDE w:val="0"/>
              <w:autoSpaceDN w:val="0"/>
              <w:adjustRightInd w:val="0"/>
              <w:spacing w:before="60" w:after="60" w:line="276" w:lineRule="auto"/>
              <w:ind w:left="-187"/>
              <w:jc w:val="right"/>
              <w:rPr>
                <w:rFonts w:asciiTheme="minorHAnsi" w:hAnsiTheme="minorHAnsi" w:cs="Arial"/>
                <w:color w:val="000000"/>
                <w:sz w:val="18"/>
                <w:szCs w:val="18"/>
              </w:rPr>
            </w:pP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84BFC31" w14:textId="77777777" w:rsidR="006E1EAF" w:rsidRPr="00187193" w:rsidRDefault="006E1EAF" w:rsidP="00D25BE7">
            <w:pPr>
              <w:widowControl w:val="0"/>
              <w:autoSpaceDE w:val="0"/>
              <w:autoSpaceDN w:val="0"/>
              <w:adjustRightInd w:val="0"/>
              <w:spacing w:before="60" w:after="60" w:line="276" w:lineRule="auto"/>
              <w:ind w:left="-187"/>
              <w:jc w:val="right"/>
              <w:rPr>
                <w:rFonts w:asciiTheme="minorHAnsi" w:hAnsiTheme="minorHAnsi" w:cs="Arial"/>
                <w:color w:val="000000"/>
                <w:sz w:val="18"/>
                <w:szCs w:val="18"/>
              </w:rPr>
            </w:pPr>
          </w:p>
        </w:tc>
      </w:tr>
      <w:tr w:rsidR="000E6070" w:rsidRPr="00E65609" w14:paraId="28F7680B"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448290" w14:textId="77777777" w:rsidR="006E1EAF" w:rsidRPr="00187193" w:rsidRDefault="006E1EAF" w:rsidP="000815F8">
            <w:pPr>
              <w:widowControl w:val="0"/>
              <w:autoSpaceDE w:val="0"/>
              <w:autoSpaceDN w:val="0"/>
              <w:adjustRightInd w:val="0"/>
              <w:spacing w:before="60" w:after="60"/>
              <w:ind w:left="-57"/>
              <w:rPr>
                <w:rFonts w:asciiTheme="minorHAnsi" w:hAnsiTheme="minorHAnsi" w:cs="Arial"/>
                <w:b/>
                <w:i/>
                <w:color w:val="000000"/>
                <w:sz w:val="18"/>
                <w:szCs w:val="18"/>
              </w:rPr>
            </w:pPr>
            <w:r w:rsidRPr="00187193">
              <w:rPr>
                <w:rFonts w:asciiTheme="minorHAnsi" w:hAnsiTheme="minorHAnsi" w:cs="Arial"/>
                <w:b/>
                <w:i/>
                <w:color w:val="000000"/>
                <w:sz w:val="18"/>
                <w:szCs w:val="18"/>
              </w:rPr>
              <w:t>Total LNDC</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517F51"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b/>
                <w:i/>
                <w:color w:val="000000"/>
                <w:sz w:val="18"/>
                <w:szCs w:val="18"/>
              </w:rPr>
            </w:pPr>
            <w:r w:rsidRPr="00187193">
              <w:rPr>
                <w:rFonts w:asciiTheme="minorHAnsi" w:hAnsiTheme="minorHAnsi" w:cs="Arial"/>
                <w:b/>
                <w:i/>
                <w:color w:val="000000"/>
                <w:sz w:val="18"/>
                <w:szCs w:val="18"/>
              </w:rPr>
              <w:t>293,390,732</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18E1853"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b/>
                <w:i/>
                <w:color w:val="000000"/>
                <w:sz w:val="18"/>
                <w:szCs w:val="18"/>
              </w:rPr>
            </w:pPr>
            <w:r w:rsidRPr="00187193">
              <w:rPr>
                <w:rFonts w:asciiTheme="minorHAnsi" w:hAnsiTheme="minorHAnsi" w:cs="Arial"/>
                <w:b/>
                <w:i/>
                <w:color w:val="000000"/>
                <w:sz w:val="18"/>
                <w:szCs w:val="18"/>
              </w:rPr>
              <w:t>8,291,585</w:t>
            </w: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347F016"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b/>
                <w:i/>
                <w:noProof/>
                <w:color w:val="000000"/>
                <w:sz w:val="18"/>
                <w:szCs w:val="18"/>
              </w:rPr>
            </w:pPr>
            <w:r w:rsidRPr="00187193">
              <w:rPr>
                <w:rFonts w:asciiTheme="minorHAnsi" w:hAnsiTheme="minorHAnsi" w:cs="Arial"/>
                <w:b/>
                <w:i/>
                <w:noProof/>
                <w:color w:val="000000"/>
                <w:sz w:val="18"/>
                <w:szCs w:val="18"/>
              </w:rPr>
              <w:t>5,285,482</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D23DDA"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b/>
                <w:i/>
                <w:color w:val="000000"/>
                <w:sz w:val="18"/>
                <w:szCs w:val="18"/>
              </w:rPr>
            </w:pPr>
            <w:r w:rsidRPr="00187193">
              <w:rPr>
                <w:rFonts w:asciiTheme="minorHAnsi" w:hAnsiTheme="minorHAnsi" w:cs="Arial"/>
                <w:b/>
                <w:i/>
                <w:color w:val="000000"/>
                <w:sz w:val="18"/>
                <w:szCs w:val="18"/>
              </w:rPr>
              <w:t>285,099,148</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9BC771"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b/>
                <w:i/>
                <w:noProof/>
                <w:color w:val="000000"/>
                <w:sz w:val="18"/>
                <w:szCs w:val="18"/>
              </w:rPr>
            </w:pPr>
            <w:r w:rsidRPr="00187193">
              <w:rPr>
                <w:rFonts w:asciiTheme="minorHAnsi" w:hAnsiTheme="minorHAnsi" w:cs="Arial"/>
                <w:b/>
                <w:i/>
                <w:noProof/>
                <w:color w:val="000000"/>
                <w:sz w:val="18"/>
                <w:szCs w:val="18"/>
              </w:rPr>
              <w:t>18,306,456</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3EEC2E"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b/>
                <w:i/>
                <w:color w:val="000000"/>
                <w:sz w:val="18"/>
                <w:szCs w:val="18"/>
              </w:rPr>
            </w:pPr>
            <w:r w:rsidRPr="00187193">
              <w:rPr>
                <w:rFonts w:asciiTheme="minorHAnsi" w:hAnsiTheme="minorHAnsi" w:cs="Arial"/>
                <w:b/>
                <w:i/>
                <w:color w:val="000000"/>
                <w:sz w:val="18"/>
                <w:szCs w:val="18"/>
              </w:rPr>
              <w:t>7,559,071</w:t>
            </w:r>
          </w:p>
        </w:tc>
      </w:tr>
      <w:tr w:rsidR="006E1EAF" w:rsidRPr="00E65609" w14:paraId="7FE0B395" w14:textId="77777777" w:rsidTr="005218E0">
        <w:tblPrEx>
          <w:tblBorders>
            <w:top w:val="none" w:sz="0" w:space="0" w:color="auto"/>
          </w:tblBorders>
        </w:tblPrEx>
        <w:trPr>
          <w:jc w:val="center"/>
        </w:trPr>
        <w:tc>
          <w:tcPr>
            <w:tcW w:w="10427" w:type="dxa"/>
            <w:gridSpan w:val="7"/>
            <w:tcBorders>
              <w:top w:val="single" w:sz="4" w:space="0" w:color="000000"/>
              <w:left w:val="single" w:sz="4" w:space="0" w:color="000000"/>
              <w:bottom w:val="single" w:sz="4" w:space="0" w:color="000000"/>
              <w:right w:val="single" w:sz="4" w:space="0" w:color="000000"/>
            </w:tcBorders>
            <w:shd w:val="clear" w:color="auto" w:fill="CCFFFF"/>
            <w:tcMar>
              <w:top w:w="20" w:type="nil"/>
              <w:left w:w="20" w:type="nil"/>
              <w:bottom w:w="20" w:type="nil"/>
              <w:right w:w="20" w:type="nil"/>
            </w:tcMar>
            <w:vAlign w:val="center"/>
          </w:tcPr>
          <w:p w14:paraId="365F44D7" w14:textId="77777777" w:rsidR="006E1EAF" w:rsidRPr="00187193" w:rsidRDefault="006E1EAF" w:rsidP="000815F8">
            <w:pPr>
              <w:widowControl w:val="0"/>
              <w:autoSpaceDE w:val="0"/>
              <w:autoSpaceDN w:val="0"/>
              <w:adjustRightInd w:val="0"/>
              <w:spacing w:before="60" w:after="60"/>
              <w:ind w:left="170"/>
              <w:rPr>
                <w:rFonts w:asciiTheme="minorHAnsi" w:hAnsiTheme="minorHAnsi" w:cs="Arial"/>
                <w:b/>
                <w:color w:val="000000"/>
                <w:sz w:val="18"/>
                <w:szCs w:val="18"/>
              </w:rPr>
            </w:pPr>
            <w:r w:rsidRPr="00187193">
              <w:rPr>
                <w:rFonts w:asciiTheme="minorHAnsi" w:hAnsiTheme="minorHAnsi" w:cs="Arial"/>
                <w:b/>
                <w:color w:val="000000"/>
                <w:sz w:val="18"/>
                <w:szCs w:val="18"/>
              </w:rPr>
              <w:t>ECONET</w:t>
            </w:r>
          </w:p>
        </w:tc>
      </w:tr>
      <w:tr w:rsidR="000E6070" w:rsidRPr="00E65609" w14:paraId="27471917"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A566645" w14:textId="77777777" w:rsidR="006E1EAF" w:rsidRPr="00187193" w:rsidRDefault="006E1EAF" w:rsidP="00AE3A24">
            <w:pPr>
              <w:widowControl w:val="0"/>
              <w:autoSpaceDE w:val="0"/>
              <w:autoSpaceDN w:val="0"/>
              <w:adjustRightInd w:val="0"/>
              <w:spacing w:before="60" w:after="60"/>
              <w:ind w:left="-57"/>
              <w:jc w:val="left"/>
              <w:rPr>
                <w:rFonts w:asciiTheme="minorHAnsi" w:hAnsiTheme="minorHAnsi" w:cs="Arial"/>
                <w:color w:val="000000"/>
                <w:sz w:val="18"/>
                <w:szCs w:val="18"/>
              </w:rPr>
            </w:pPr>
            <w:r w:rsidRPr="00187193">
              <w:rPr>
                <w:rFonts w:asciiTheme="minorHAnsi" w:hAnsiTheme="minorHAnsi" w:cs="Arial"/>
                <w:color w:val="000000"/>
                <w:sz w:val="18"/>
                <w:szCs w:val="18"/>
              </w:rPr>
              <w:t xml:space="preserve">Telecom Nat Network Phase 2 </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9E4ABF"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222,726,839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6A64785" w14:textId="77777777" w:rsidR="006E1EAF" w:rsidRPr="00187193" w:rsidRDefault="006E1EAF" w:rsidP="00D25BE7">
            <w:pPr>
              <w:widowControl w:val="0"/>
              <w:autoSpaceDE w:val="0"/>
              <w:autoSpaceDN w:val="0"/>
              <w:adjustRightInd w:val="0"/>
              <w:spacing w:before="60" w:after="60" w:line="276" w:lineRule="auto"/>
              <w:ind w:left="-187"/>
              <w:jc w:val="right"/>
              <w:rPr>
                <w:rFonts w:asciiTheme="minorHAnsi" w:hAnsiTheme="minorHAnsi" w:cs="Arial"/>
                <w:color w:val="000000"/>
                <w:sz w:val="18"/>
                <w:szCs w:val="18"/>
              </w:rPr>
            </w:pP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1293C1"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16,038,865 </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BB362C"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222,726,839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19EE8E"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8,176,590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1E19CBE" w14:textId="77777777" w:rsidR="006E1EAF" w:rsidRPr="00187193"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r>
      <w:tr w:rsidR="000E6070" w:rsidRPr="00E65609" w14:paraId="32C860A4"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D9A48B1" w14:textId="77777777" w:rsidR="006E1EAF" w:rsidRPr="00187193" w:rsidRDefault="006E1EAF" w:rsidP="00AE3A24">
            <w:pPr>
              <w:widowControl w:val="0"/>
              <w:autoSpaceDE w:val="0"/>
              <w:autoSpaceDN w:val="0"/>
              <w:adjustRightInd w:val="0"/>
              <w:spacing w:before="60" w:after="60"/>
              <w:ind w:left="-57"/>
              <w:jc w:val="left"/>
              <w:rPr>
                <w:rFonts w:asciiTheme="minorHAnsi" w:hAnsiTheme="minorHAnsi" w:cs="Arial"/>
                <w:color w:val="000000"/>
                <w:sz w:val="18"/>
                <w:szCs w:val="18"/>
              </w:rPr>
            </w:pPr>
            <w:r w:rsidRPr="00187193">
              <w:rPr>
                <w:rFonts w:asciiTheme="minorHAnsi" w:hAnsiTheme="minorHAnsi" w:cs="Arial"/>
                <w:color w:val="000000"/>
                <w:sz w:val="18"/>
                <w:szCs w:val="18"/>
              </w:rPr>
              <w:t xml:space="preserve">Telecom Nat Network Phase 1 </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E39720"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205,986,835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2984F7" w14:textId="77777777" w:rsidR="006E1EAF" w:rsidRPr="00187193"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DE9F24"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noProof/>
                <w:color w:val="000000"/>
                <w:sz w:val="18"/>
                <w:szCs w:val="18"/>
              </w:rPr>
              <w:drawing>
                <wp:inline distT="0" distB="0" distL="0" distR="0" wp14:anchorId="1E858F8C" wp14:editId="04E09F77">
                  <wp:extent cx="10160" cy="101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87193">
              <w:rPr>
                <w:rFonts w:asciiTheme="minorHAnsi" w:hAnsiTheme="minorHAnsi" w:cs="Arial"/>
                <w:color w:val="000000"/>
                <w:sz w:val="18"/>
                <w:szCs w:val="18"/>
              </w:rPr>
              <w:t xml:space="preserve"> </w:t>
            </w:r>
            <w:r w:rsidRPr="00187193">
              <w:rPr>
                <w:rFonts w:asciiTheme="minorHAnsi" w:hAnsiTheme="minorHAnsi" w:cs="Arial"/>
                <w:noProof/>
                <w:color w:val="000000"/>
                <w:sz w:val="18"/>
                <w:szCs w:val="18"/>
              </w:rPr>
              <w:drawing>
                <wp:inline distT="0" distB="0" distL="0" distR="0" wp14:anchorId="38525526" wp14:editId="49996021">
                  <wp:extent cx="10160" cy="1016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87193">
              <w:rPr>
                <w:rFonts w:asciiTheme="minorHAnsi" w:hAnsiTheme="minorHAnsi" w:cs="Arial"/>
                <w:color w:val="000000"/>
                <w:sz w:val="18"/>
                <w:szCs w:val="18"/>
              </w:rPr>
              <w:t xml:space="preserve">16,368,503 </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8C16C0"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205,986,835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F519079"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noProof/>
                <w:color w:val="000000"/>
                <w:sz w:val="18"/>
                <w:szCs w:val="18"/>
              </w:rPr>
              <w:drawing>
                <wp:inline distT="0" distB="0" distL="0" distR="0" wp14:anchorId="1C09BD37" wp14:editId="3CAC97AF">
                  <wp:extent cx="10160" cy="1016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87193">
              <w:rPr>
                <w:rFonts w:asciiTheme="minorHAnsi" w:hAnsiTheme="minorHAnsi" w:cs="Arial"/>
                <w:color w:val="000000"/>
                <w:sz w:val="18"/>
                <w:szCs w:val="18"/>
              </w:rPr>
              <w:t xml:space="preserve">7,373,161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207228" w14:textId="77777777" w:rsidR="006E1EAF" w:rsidRPr="00187193" w:rsidRDefault="006E1EAF" w:rsidP="00D25BE7">
            <w:pPr>
              <w:widowControl w:val="0"/>
              <w:autoSpaceDE w:val="0"/>
              <w:autoSpaceDN w:val="0"/>
              <w:adjustRightInd w:val="0"/>
              <w:spacing w:before="60" w:after="60" w:line="276" w:lineRule="auto"/>
              <w:ind w:left="-187"/>
              <w:jc w:val="right"/>
              <w:rPr>
                <w:rFonts w:asciiTheme="minorHAnsi" w:hAnsiTheme="minorHAnsi" w:cs="Arial"/>
                <w:color w:val="000000"/>
                <w:sz w:val="18"/>
                <w:szCs w:val="18"/>
              </w:rPr>
            </w:pPr>
          </w:p>
        </w:tc>
      </w:tr>
      <w:tr w:rsidR="000E6070" w:rsidRPr="00E65609" w14:paraId="2E51B4BB"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305403" w14:textId="77777777" w:rsidR="006E1EAF" w:rsidRPr="00187193" w:rsidRDefault="006E1EAF" w:rsidP="000815F8">
            <w:pPr>
              <w:widowControl w:val="0"/>
              <w:autoSpaceDE w:val="0"/>
              <w:autoSpaceDN w:val="0"/>
              <w:adjustRightInd w:val="0"/>
              <w:spacing w:before="60" w:after="60"/>
              <w:ind w:left="-57"/>
              <w:rPr>
                <w:rFonts w:asciiTheme="minorHAnsi" w:hAnsiTheme="minorHAnsi" w:cs="Arial"/>
                <w:b/>
                <w:i/>
                <w:color w:val="000000"/>
                <w:sz w:val="18"/>
                <w:szCs w:val="18"/>
              </w:rPr>
            </w:pPr>
            <w:r w:rsidRPr="00187193">
              <w:rPr>
                <w:rFonts w:asciiTheme="minorHAnsi" w:hAnsiTheme="minorHAnsi" w:cs="Arial"/>
                <w:b/>
                <w:i/>
                <w:color w:val="000000"/>
                <w:sz w:val="18"/>
                <w:szCs w:val="18"/>
              </w:rPr>
              <w:t>Total Econet</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513C829"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b/>
                <w:i/>
                <w:color w:val="000000"/>
                <w:sz w:val="18"/>
                <w:szCs w:val="18"/>
              </w:rPr>
            </w:pPr>
            <w:r w:rsidRPr="00187193">
              <w:rPr>
                <w:rFonts w:asciiTheme="minorHAnsi" w:hAnsiTheme="minorHAnsi" w:cs="Arial"/>
                <w:b/>
                <w:i/>
                <w:color w:val="000000"/>
                <w:sz w:val="18"/>
                <w:szCs w:val="18"/>
              </w:rPr>
              <w:t>428,713,674</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2F2BB44" w14:textId="77777777" w:rsidR="006E1EAF" w:rsidRPr="00187193" w:rsidRDefault="006E1EAF" w:rsidP="00D25BE7">
            <w:pPr>
              <w:widowControl w:val="0"/>
              <w:autoSpaceDE w:val="0"/>
              <w:autoSpaceDN w:val="0"/>
              <w:adjustRightInd w:val="0"/>
              <w:spacing w:before="60" w:after="60" w:line="276" w:lineRule="auto"/>
              <w:ind w:left="-187"/>
              <w:jc w:val="right"/>
              <w:rPr>
                <w:rFonts w:asciiTheme="minorHAnsi" w:hAnsiTheme="minorHAnsi" w:cs="Arial"/>
                <w:b/>
                <w:i/>
                <w:color w:val="000000"/>
                <w:sz w:val="18"/>
                <w:szCs w:val="18"/>
              </w:rPr>
            </w:pP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06E89D"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b/>
                <w:i/>
                <w:noProof/>
                <w:color w:val="000000"/>
                <w:sz w:val="18"/>
                <w:szCs w:val="18"/>
              </w:rPr>
            </w:pPr>
            <w:r w:rsidRPr="00187193">
              <w:rPr>
                <w:rFonts w:asciiTheme="minorHAnsi" w:hAnsiTheme="minorHAnsi" w:cs="Arial"/>
                <w:b/>
                <w:i/>
                <w:noProof/>
                <w:color w:val="000000"/>
                <w:sz w:val="18"/>
                <w:szCs w:val="18"/>
              </w:rPr>
              <w:t>32,407,368</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5167865"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b/>
                <w:i/>
                <w:color w:val="000000"/>
                <w:sz w:val="18"/>
                <w:szCs w:val="18"/>
              </w:rPr>
            </w:pPr>
            <w:r w:rsidRPr="00187193">
              <w:rPr>
                <w:rFonts w:asciiTheme="minorHAnsi" w:hAnsiTheme="minorHAnsi" w:cs="Arial"/>
                <w:b/>
                <w:i/>
                <w:color w:val="000000"/>
                <w:sz w:val="18"/>
                <w:szCs w:val="18"/>
              </w:rPr>
              <w:t>428,713,673</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159EB8"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b/>
                <w:i/>
                <w:noProof/>
                <w:color w:val="000000"/>
                <w:sz w:val="18"/>
                <w:szCs w:val="18"/>
              </w:rPr>
            </w:pPr>
            <w:r w:rsidRPr="00187193">
              <w:rPr>
                <w:rFonts w:asciiTheme="minorHAnsi" w:hAnsiTheme="minorHAnsi" w:cs="Arial"/>
                <w:b/>
                <w:i/>
                <w:noProof/>
                <w:color w:val="000000"/>
                <w:sz w:val="18"/>
                <w:szCs w:val="18"/>
              </w:rPr>
              <w:t>15,549751</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A76E591" w14:textId="77777777" w:rsidR="006E1EAF" w:rsidRPr="00187193" w:rsidRDefault="006E1EAF" w:rsidP="00D25BE7">
            <w:pPr>
              <w:widowControl w:val="0"/>
              <w:autoSpaceDE w:val="0"/>
              <w:autoSpaceDN w:val="0"/>
              <w:adjustRightInd w:val="0"/>
              <w:spacing w:before="60" w:after="60" w:line="276" w:lineRule="auto"/>
              <w:ind w:left="-187"/>
              <w:jc w:val="right"/>
              <w:rPr>
                <w:rFonts w:asciiTheme="minorHAnsi" w:hAnsiTheme="minorHAnsi" w:cs="Arial"/>
                <w:b/>
                <w:i/>
                <w:color w:val="000000"/>
                <w:sz w:val="18"/>
                <w:szCs w:val="18"/>
              </w:rPr>
            </w:pPr>
          </w:p>
        </w:tc>
      </w:tr>
      <w:tr w:rsidR="006E1EAF" w:rsidRPr="00E65609" w14:paraId="06BA6E02" w14:textId="77777777" w:rsidTr="005218E0">
        <w:tblPrEx>
          <w:tblBorders>
            <w:top w:val="none" w:sz="0" w:space="0" w:color="auto"/>
          </w:tblBorders>
        </w:tblPrEx>
        <w:trPr>
          <w:jc w:val="center"/>
        </w:trPr>
        <w:tc>
          <w:tcPr>
            <w:tcW w:w="10427" w:type="dxa"/>
            <w:gridSpan w:val="7"/>
            <w:tcBorders>
              <w:top w:val="single" w:sz="4" w:space="0" w:color="000000"/>
              <w:left w:val="single" w:sz="4" w:space="0" w:color="000000"/>
              <w:bottom w:val="single" w:sz="4" w:space="0" w:color="000000"/>
              <w:right w:val="single" w:sz="4" w:space="0" w:color="000000"/>
            </w:tcBorders>
            <w:shd w:val="clear" w:color="auto" w:fill="CCFFFF"/>
            <w:tcMar>
              <w:top w:w="20" w:type="nil"/>
              <w:left w:w="20" w:type="nil"/>
              <w:bottom w:w="20" w:type="nil"/>
              <w:right w:w="20" w:type="nil"/>
            </w:tcMar>
            <w:vAlign w:val="center"/>
          </w:tcPr>
          <w:p w14:paraId="0F8F4799" w14:textId="77777777" w:rsidR="006E1EAF" w:rsidRPr="00187193" w:rsidRDefault="006E1EAF" w:rsidP="000815F8">
            <w:pPr>
              <w:widowControl w:val="0"/>
              <w:autoSpaceDE w:val="0"/>
              <w:autoSpaceDN w:val="0"/>
              <w:adjustRightInd w:val="0"/>
              <w:spacing w:before="60" w:after="60"/>
              <w:ind w:left="170"/>
              <w:rPr>
                <w:rFonts w:asciiTheme="minorHAnsi" w:hAnsiTheme="minorHAnsi" w:cs="Arial"/>
                <w:b/>
                <w:color w:val="000000"/>
                <w:sz w:val="18"/>
                <w:szCs w:val="18"/>
              </w:rPr>
            </w:pPr>
            <w:r w:rsidRPr="00187193">
              <w:rPr>
                <w:rFonts w:asciiTheme="minorHAnsi" w:hAnsiTheme="minorHAnsi" w:cs="Arial"/>
                <w:b/>
                <w:color w:val="000000"/>
                <w:sz w:val="18"/>
                <w:szCs w:val="18"/>
              </w:rPr>
              <w:t>WASCO</w:t>
            </w:r>
          </w:p>
        </w:tc>
      </w:tr>
      <w:tr w:rsidR="000E6070" w:rsidRPr="00E65609" w14:paraId="501BB89A"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1B09C2" w14:textId="77777777" w:rsidR="006E1EAF" w:rsidRPr="00187193" w:rsidRDefault="006E1EAF" w:rsidP="000815F8">
            <w:pPr>
              <w:widowControl w:val="0"/>
              <w:autoSpaceDE w:val="0"/>
              <w:autoSpaceDN w:val="0"/>
              <w:adjustRightInd w:val="0"/>
              <w:spacing w:before="60" w:after="60"/>
              <w:ind w:left="-57"/>
              <w:rPr>
                <w:rFonts w:asciiTheme="minorHAnsi" w:hAnsiTheme="minorHAnsi" w:cs="Arial"/>
                <w:color w:val="000000"/>
                <w:sz w:val="18"/>
                <w:szCs w:val="18"/>
              </w:rPr>
            </w:pPr>
            <w:r w:rsidRPr="00187193">
              <w:rPr>
                <w:rFonts w:asciiTheme="minorHAnsi" w:hAnsiTheme="minorHAnsi" w:cs="Arial"/>
                <w:color w:val="000000"/>
                <w:sz w:val="18"/>
                <w:szCs w:val="18"/>
              </w:rPr>
              <w:t xml:space="preserve">BADEA 132 Maseru Wat Supply 1 </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5238CF"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63,023,315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65A352A" w14:textId="77777777" w:rsidR="006E1EAF" w:rsidRPr="00187193" w:rsidRDefault="006E1EAF" w:rsidP="00D25BE7">
            <w:pPr>
              <w:widowControl w:val="0"/>
              <w:autoSpaceDE w:val="0"/>
              <w:autoSpaceDN w:val="0"/>
              <w:adjustRightInd w:val="0"/>
              <w:spacing w:before="60" w:after="60" w:line="276" w:lineRule="auto"/>
              <w:ind w:left="-187"/>
              <w:jc w:val="right"/>
              <w:rPr>
                <w:rFonts w:asciiTheme="minorHAnsi" w:hAnsiTheme="minorHAnsi" w:cs="Arial"/>
                <w:color w:val="000000"/>
                <w:sz w:val="18"/>
                <w:szCs w:val="18"/>
              </w:rPr>
            </w:pP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B66F8A" w14:textId="77777777" w:rsidR="006E1EAF" w:rsidRPr="00187193"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AE1CE76"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63,023,315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3BA49B9"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43,627,806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AB3BA2"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2,753,981 </w:t>
            </w:r>
          </w:p>
        </w:tc>
      </w:tr>
      <w:tr w:rsidR="000E6070" w:rsidRPr="00E65609" w14:paraId="3BF91CA6"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85C46F" w14:textId="77777777" w:rsidR="006E1EAF" w:rsidRPr="00187193" w:rsidRDefault="006E1EAF" w:rsidP="000815F8">
            <w:pPr>
              <w:widowControl w:val="0"/>
              <w:autoSpaceDE w:val="0"/>
              <w:autoSpaceDN w:val="0"/>
              <w:adjustRightInd w:val="0"/>
              <w:spacing w:before="60" w:after="60"/>
              <w:ind w:left="-57"/>
              <w:rPr>
                <w:rFonts w:asciiTheme="minorHAnsi" w:hAnsiTheme="minorHAnsi" w:cs="Arial"/>
                <w:color w:val="000000"/>
                <w:sz w:val="18"/>
                <w:szCs w:val="18"/>
              </w:rPr>
            </w:pPr>
            <w:r w:rsidRPr="00187193">
              <w:rPr>
                <w:rFonts w:asciiTheme="minorHAnsi" w:hAnsiTheme="minorHAnsi" w:cs="Arial"/>
                <w:color w:val="000000"/>
                <w:sz w:val="18"/>
                <w:szCs w:val="18"/>
              </w:rPr>
              <w:lastRenderedPageBreak/>
              <w:t xml:space="preserve">BADEA 133 Maseru Wat Supply 2 </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CDC404"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78,097,438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E5CAA9" w14:textId="77777777" w:rsidR="006E1EAF" w:rsidRPr="00187193"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A9C7CF4"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noProof/>
                <w:color w:val="000000"/>
                <w:sz w:val="18"/>
                <w:szCs w:val="18"/>
              </w:rPr>
              <w:drawing>
                <wp:inline distT="0" distB="0" distL="0" distR="0" wp14:anchorId="4443F0F6" wp14:editId="7D7FE5C7">
                  <wp:extent cx="10160" cy="1016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87193">
              <w:rPr>
                <w:rFonts w:asciiTheme="minorHAnsi" w:hAnsiTheme="minorHAnsi" w:cs="Arial"/>
                <w:color w:val="000000"/>
                <w:sz w:val="18"/>
                <w:szCs w:val="18"/>
              </w:rPr>
              <w:t xml:space="preserve"> </w:t>
            </w:r>
            <w:r w:rsidRPr="00187193">
              <w:rPr>
                <w:rFonts w:asciiTheme="minorHAnsi" w:hAnsiTheme="minorHAnsi" w:cs="Arial"/>
                <w:noProof/>
                <w:color w:val="000000"/>
                <w:sz w:val="18"/>
                <w:szCs w:val="18"/>
              </w:rPr>
              <w:drawing>
                <wp:inline distT="0" distB="0" distL="0" distR="0" wp14:anchorId="2E9F1062" wp14:editId="27445AA4">
                  <wp:extent cx="10160" cy="101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87193">
              <w:rPr>
                <w:rFonts w:asciiTheme="minorHAnsi" w:hAnsiTheme="minorHAnsi" w:cs="Arial"/>
                <w:color w:val="000000"/>
                <w:sz w:val="18"/>
                <w:szCs w:val="18"/>
              </w:rPr>
              <w:t xml:space="preserve"> </w:t>
            </w:r>
            <w:r w:rsidRPr="00187193">
              <w:rPr>
                <w:rFonts w:asciiTheme="minorHAnsi" w:hAnsiTheme="minorHAnsi" w:cs="Arial"/>
                <w:noProof/>
                <w:color w:val="000000"/>
                <w:sz w:val="18"/>
                <w:szCs w:val="18"/>
              </w:rPr>
              <w:drawing>
                <wp:inline distT="0" distB="0" distL="0" distR="0" wp14:anchorId="045613A8" wp14:editId="753CD1D8">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87193">
              <w:rPr>
                <w:rFonts w:asciiTheme="minorHAnsi" w:hAnsiTheme="minorHAnsi" w:cs="Arial"/>
                <w:color w:val="000000"/>
                <w:sz w:val="18"/>
                <w:szCs w:val="18"/>
              </w:rPr>
              <w:t xml:space="preserve"> </w:t>
            </w:r>
            <w:r w:rsidRPr="00187193">
              <w:rPr>
                <w:rFonts w:asciiTheme="minorHAnsi" w:hAnsiTheme="minorHAnsi" w:cs="Arial"/>
                <w:noProof/>
                <w:color w:val="000000"/>
                <w:sz w:val="18"/>
                <w:szCs w:val="18"/>
              </w:rPr>
              <w:drawing>
                <wp:inline distT="0" distB="0" distL="0" distR="0" wp14:anchorId="394B460D" wp14:editId="17CB40DC">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87193">
              <w:rPr>
                <w:rFonts w:asciiTheme="minorHAnsi" w:hAnsiTheme="minorHAnsi" w:cs="Arial"/>
                <w:color w:val="000000"/>
                <w:sz w:val="18"/>
                <w:szCs w:val="18"/>
              </w:rPr>
              <w:t xml:space="preserve"> </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726206"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78,097,438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F2761A9"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noProof/>
                <w:color w:val="000000"/>
                <w:sz w:val="18"/>
                <w:szCs w:val="18"/>
              </w:rPr>
              <w:drawing>
                <wp:inline distT="0" distB="0" distL="0" distR="0" wp14:anchorId="6B83ED1E" wp14:editId="3F2C96C1">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87193">
              <w:rPr>
                <w:rFonts w:asciiTheme="minorHAnsi" w:hAnsiTheme="minorHAnsi" w:cs="Arial"/>
                <w:color w:val="000000"/>
                <w:sz w:val="18"/>
                <w:szCs w:val="18"/>
              </w:rPr>
              <w:t xml:space="preserve">15,391,600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DA764C"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11,306,865 </w:t>
            </w:r>
          </w:p>
        </w:tc>
      </w:tr>
      <w:tr w:rsidR="000E6070" w:rsidRPr="00E65609" w14:paraId="52A76C83"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CCDA61" w14:textId="77777777" w:rsidR="006E1EAF" w:rsidRPr="00187193" w:rsidRDefault="006E1EAF" w:rsidP="000815F8">
            <w:pPr>
              <w:widowControl w:val="0"/>
              <w:autoSpaceDE w:val="0"/>
              <w:autoSpaceDN w:val="0"/>
              <w:adjustRightInd w:val="0"/>
              <w:spacing w:before="60" w:after="60"/>
              <w:ind w:left="-57"/>
              <w:rPr>
                <w:rFonts w:asciiTheme="minorHAnsi" w:hAnsiTheme="minorHAnsi" w:cs="Arial"/>
                <w:color w:val="000000"/>
                <w:sz w:val="18"/>
                <w:szCs w:val="18"/>
              </w:rPr>
            </w:pPr>
            <w:r w:rsidRPr="00187193">
              <w:rPr>
                <w:rFonts w:asciiTheme="minorHAnsi" w:hAnsiTheme="minorHAnsi" w:cs="Arial"/>
                <w:color w:val="000000"/>
                <w:sz w:val="18"/>
                <w:szCs w:val="18"/>
              </w:rPr>
              <w:t xml:space="preserve">OFID 134 Maseru Supp 2 </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3E29F6A"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85,500,487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80AA017" w14:textId="77777777" w:rsidR="006E1EAF" w:rsidRPr="00187193"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AAC727D" w14:textId="77777777" w:rsidR="006E1EAF" w:rsidRPr="00187193"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B100F9"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85,500,487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7F28F4"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30,272,577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52B99B"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6,576,925 </w:t>
            </w:r>
          </w:p>
        </w:tc>
      </w:tr>
      <w:tr w:rsidR="000E6070" w:rsidRPr="00E65609" w14:paraId="4C9B0265"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FACB82" w14:textId="77777777" w:rsidR="006E1EAF" w:rsidRPr="00187193" w:rsidRDefault="006E1EAF" w:rsidP="000815F8">
            <w:pPr>
              <w:widowControl w:val="0"/>
              <w:autoSpaceDE w:val="0"/>
              <w:autoSpaceDN w:val="0"/>
              <w:adjustRightInd w:val="0"/>
              <w:spacing w:before="60" w:after="60"/>
              <w:ind w:left="-57"/>
              <w:rPr>
                <w:rFonts w:asciiTheme="minorHAnsi" w:hAnsiTheme="minorHAnsi" w:cs="Arial"/>
                <w:color w:val="000000"/>
                <w:sz w:val="18"/>
                <w:szCs w:val="18"/>
              </w:rPr>
            </w:pPr>
            <w:r w:rsidRPr="00187193">
              <w:rPr>
                <w:rFonts w:asciiTheme="minorHAnsi" w:hAnsiTheme="minorHAnsi" w:cs="Arial"/>
                <w:color w:val="000000"/>
                <w:sz w:val="18"/>
                <w:szCs w:val="18"/>
              </w:rPr>
              <w:t xml:space="preserve">IDA 3995 Wat Sect Imp Project </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F5E25F9"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48,814,092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E3A317"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48,814,092 </w:t>
            </w: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F476D4" w14:textId="77777777" w:rsidR="006E1EAF" w:rsidRPr="00187193" w:rsidRDefault="006E1EAF" w:rsidP="00D25BE7">
            <w:pPr>
              <w:widowControl w:val="0"/>
              <w:autoSpaceDE w:val="0"/>
              <w:autoSpaceDN w:val="0"/>
              <w:adjustRightInd w:val="0"/>
              <w:spacing w:before="60" w:after="60" w:line="276" w:lineRule="auto"/>
              <w:ind w:left="568"/>
              <w:jc w:val="right"/>
              <w:rPr>
                <w:rFonts w:asciiTheme="minorHAnsi" w:hAnsiTheme="minorHAnsi" w:cs="Arial"/>
                <w:color w:val="000000"/>
                <w:sz w:val="18"/>
                <w:szCs w:val="18"/>
              </w:rPr>
            </w:pP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7F9C2C"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48,814,092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973940"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10,319,000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7C0A11"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234,260 </w:t>
            </w:r>
          </w:p>
        </w:tc>
      </w:tr>
      <w:tr w:rsidR="000E6070" w:rsidRPr="00E65609" w14:paraId="0B8DCBCF"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B7BCD2" w14:textId="77777777" w:rsidR="006E1EAF" w:rsidRPr="00187193" w:rsidRDefault="006E1EAF" w:rsidP="000815F8">
            <w:pPr>
              <w:widowControl w:val="0"/>
              <w:autoSpaceDE w:val="0"/>
              <w:autoSpaceDN w:val="0"/>
              <w:adjustRightInd w:val="0"/>
              <w:spacing w:before="60" w:after="60"/>
              <w:ind w:left="-57"/>
              <w:rPr>
                <w:rFonts w:asciiTheme="minorHAnsi" w:hAnsiTheme="minorHAnsi" w:cs="Arial"/>
                <w:b/>
                <w:i/>
                <w:color w:val="000000"/>
                <w:sz w:val="18"/>
                <w:szCs w:val="18"/>
              </w:rPr>
            </w:pPr>
            <w:r w:rsidRPr="00187193">
              <w:rPr>
                <w:rFonts w:asciiTheme="minorHAnsi" w:hAnsiTheme="minorHAnsi" w:cs="Arial"/>
                <w:b/>
                <w:i/>
                <w:color w:val="000000"/>
                <w:sz w:val="18"/>
                <w:szCs w:val="18"/>
              </w:rPr>
              <w:t>Total WASCO</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0D3C637"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b/>
                <w:i/>
                <w:color w:val="000000"/>
                <w:sz w:val="18"/>
                <w:szCs w:val="18"/>
              </w:rPr>
            </w:pPr>
            <w:r w:rsidRPr="00187193">
              <w:rPr>
                <w:rFonts w:asciiTheme="minorHAnsi" w:hAnsiTheme="minorHAnsi" w:cs="Arial"/>
                <w:b/>
                <w:i/>
                <w:color w:val="000000"/>
                <w:sz w:val="18"/>
                <w:szCs w:val="18"/>
              </w:rPr>
              <w:t>275,435,332</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768049F"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b/>
                <w:i/>
                <w:color w:val="000000"/>
                <w:sz w:val="18"/>
                <w:szCs w:val="18"/>
              </w:rPr>
            </w:pPr>
            <w:r w:rsidRPr="00187193">
              <w:rPr>
                <w:rFonts w:asciiTheme="minorHAnsi" w:hAnsiTheme="minorHAnsi" w:cs="Arial"/>
                <w:b/>
                <w:i/>
                <w:color w:val="000000"/>
                <w:sz w:val="18"/>
                <w:szCs w:val="18"/>
              </w:rPr>
              <w:t>48,814,092</w:t>
            </w: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861D07" w14:textId="77777777" w:rsidR="006E1EAF" w:rsidRPr="00187193" w:rsidRDefault="006E1EAF" w:rsidP="00D25BE7">
            <w:pPr>
              <w:widowControl w:val="0"/>
              <w:autoSpaceDE w:val="0"/>
              <w:autoSpaceDN w:val="0"/>
              <w:adjustRightInd w:val="0"/>
              <w:spacing w:before="60" w:after="60" w:line="276" w:lineRule="auto"/>
              <w:ind w:left="568"/>
              <w:jc w:val="right"/>
              <w:rPr>
                <w:rFonts w:asciiTheme="minorHAnsi" w:hAnsiTheme="minorHAnsi" w:cs="Arial"/>
                <w:b/>
                <w:i/>
                <w:color w:val="000000"/>
                <w:sz w:val="18"/>
                <w:szCs w:val="18"/>
              </w:rPr>
            </w:pP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0148A82"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b/>
                <w:i/>
                <w:color w:val="000000"/>
                <w:sz w:val="18"/>
                <w:szCs w:val="18"/>
              </w:rPr>
            </w:pPr>
            <w:r w:rsidRPr="00187193">
              <w:rPr>
                <w:rFonts w:asciiTheme="minorHAnsi" w:hAnsiTheme="minorHAnsi" w:cs="Arial"/>
                <w:b/>
                <w:i/>
                <w:color w:val="000000"/>
                <w:sz w:val="18"/>
                <w:szCs w:val="18"/>
              </w:rPr>
              <w:t>275,435,332</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F126588"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b/>
                <w:i/>
                <w:color w:val="000000"/>
                <w:sz w:val="18"/>
                <w:szCs w:val="18"/>
              </w:rPr>
            </w:pPr>
            <w:r w:rsidRPr="00187193">
              <w:rPr>
                <w:rFonts w:asciiTheme="minorHAnsi" w:hAnsiTheme="minorHAnsi" w:cs="Arial"/>
                <w:b/>
                <w:i/>
                <w:color w:val="000000"/>
                <w:sz w:val="18"/>
                <w:szCs w:val="18"/>
              </w:rPr>
              <w:t>99610,983</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CDF71C"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b/>
                <w:i/>
                <w:color w:val="000000"/>
                <w:sz w:val="18"/>
                <w:szCs w:val="18"/>
              </w:rPr>
            </w:pPr>
            <w:r w:rsidRPr="00187193">
              <w:rPr>
                <w:rFonts w:asciiTheme="minorHAnsi" w:hAnsiTheme="minorHAnsi" w:cs="Arial"/>
                <w:b/>
                <w:i/>
                <w:color w:val="000000"/>
                <w:sz w:val="18"/>
                <w:szCs w:val="18"/>
              </w:rPr>
              <w:t>20,872,031</w:t>
            </w:r>
          </w:p>
        </w:tc>
      </w:tr>
      <w:tr w:rsidR="006E1EAF" w:rsidRPr="00E65609" w14:paraId="2FEA7E3C" w14:textId="77777777" w:rsidTr="005218E0">
        <w:tblPrEx>
          <w:tblBorders>
            <w:top w:val="none" w:sz="0" w:space="0" w:color="auto"/>
          </w:tblBorders>
        </w:tblPrEx>
        <w:trPr>
          <w:jc w:val="center"/>
        </w:trPr>
        <w:tc>
          <w:tcPr>
            <w:tcW w:w="10427" w:type="dxa"/>
            <w:gridSpan w:val="7"/>
            <w:tcBorders>
              <w:top w:val="single" w:sz="4" w:space="0" w:color="000000"/>
              <w:left w:val="single" w:sz="4" w:space="0" w:color="000000"/>
              <w:bottom w:val="single" w:sz="4" w:space="0" w:color="000000"/>
              <w:right w:val="single" w:sz="4" w:space="0" w:color="000000"/>
            </w:tcBorders>
            <w:shd w:val="clear" w:color="auto" w:fill="CCFFFF"/>
            <w:tcMar>
              <w:top w:w="20" w:type="nil"/>
              <w:left w:w="20" w:type="nil"/>
              <w:bottom w:w="20" w:type="nil"/>
              <w:right w:w="20" w:type="nil"/>
            </w:tcMar>
            <w:vAlign w:val="center"/>
          </w:tcPr>
          <w:p w14:paraId="59D0877C" w14:textId="77777777" w:rsidR="006E1EAF" w:rsidRPr="00187193" w:rsidRDefault="006E1EAF" w:rsidP="000815F8">
            <w:pPr>
              <w:widowControl w:val="0"/>
              <w:autoSpaceDE w:val="0"/>
              <w:autoSpaceDN w:val="0"/>
              <w:adjustRightInd w:val="0"/>
              <w:spacing w:before="60" w:after="60"/>
              <w:ind w:left="170"/>
              <w:rPr>
                <w:rFonts w:asciiTheme="minorHAnsi" w:hAnsiTheme="minorHAnsi" w:cs="Arial"/>
                <w:b/>
                <w:color w:val="000000"/>
                <w:sz w:val="18"/>
                <w:szCs w:val="18"/>
              </w:rPr>
            </w:pPr>
            <w:r w:rsidRPr="00187193">
              <w:rPr>
                <w:rFonts w:asciiTheme="minorHAnsi" w:hAnsiTheme="minorHAnsi" w:cs="Arial"/>
                <w:b/>
                <w:color w:val="000000"/>
                <w:sz w:val="18"/>
                <w:szCs w:val="18"/>
              </w:rPr>
              <w:t>LEC</w:t>
            </w:r>
          </w:p>
        </w:tc>
      </w:tr>
      <w:tr w:rsidR="000E6070" w:rsidRPr="00E65609" w14:paraId="5691B332" w14:textId="77777777" w:rsidTr="005218E0">
        <w:tblPrEx>
          <w:tblBorders>
            <w:top w:val="none" w:sz="0" w:space="0" w:color="auto"/>
          </w:tblBorders>
        </w:tblPrEx>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F983A3" w14:textId="77777777" w:rsidR="006E1EAF" w:rsidRPr="00187193" w:rsidRDefault="006E1EAF" w:rsidP="000815F8">
            <w:pPr>
              <w:widowControl w:val="0"/>
              <w:autoSpaceDE w:val="0"/>
              <w:autoSpaceDN w:val="0"/>
              <w:adjustRightInd w:val="0"/>
              <w:spacing w:before="60" w:after="60"/>
              <w:ind w:left="-57"/>
              <w:rPr>
                <w:rFonts w:asciiTheme="minorHAnsi" w:hAnsiTheme="minorHAnsi" w:cs="Arial"/>
                <w:color w:val="000000"/>
                <w:sz w:val="18"/>
                <w:szCs w:val="18"/>
              </w:rPr>
            </w:pPr>
            <w:r w:rsidRPr="00187193">
              <w:rPr>
                <w:rFonts w:asciiTheme="minorHAnsi" w:hAnsiTheme="minorHAnsi" w:cs="Arial"/>
                <w:color w:val="000000"/>
                <w:sz w:val="18"/>
                <w:szCs w:val="18"/>
              </w:rPr>
              <w:t xml:space="preserve">Lesotho Elect Supp Project </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3BD4C3"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41,811,393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E5E20CB"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1,944,716 </w:t>
            </w: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1CF194"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noProof/>
                <w:color w:val="000000"/>
                <w:sz w:val="18"/>
                <w:szCs w:val="18"/>
              </w:rPr>
              <w:drawing>
                <wp:inline distT="0" distB="0" distL="0" distR="0" wp14:anchorId="2CA03185" wp14:editId="18989921">
                  <wp:extent cx="10160" cy="10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87193">
              <w:rPr>
                <w:rFonts w:asciiTheme="minorHAnsi" w:hAnsiTheme="minorHAnsi" w:cs="Arial"/>
                <w:color w:val="000000"/>
                <w:sz w:val="18"/>
                <w:szCs w:val="18"/>
              </w:rPr>
              <w:t xml:space="preserve"> </w:t>
            </w:r>
            <w:r w:rsidRPr="00187193">
              <w:rPr>
                <w:rFonts w:asciiTheme="minorHAnsi" w:hAnsiTheme="minorHAnsi" w:cs="Arial"/>
                <w:noProof/>
                <w:color w:val="000000"/>
                <w:sz w:val="18"/>
                <w:szCs w:val="18"/>
              </w:rPr>
              <w:drawing>
                <wp:inline distT="0" distB="0" distL="0" distR="0" wp14:anchorId="31374A5A" wp14:editId="312C1D7D">
                  <wp:extent cx="10160" cy="101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87193">
              <w:rPr>
                <w:rFonts w:asciiTheme="minorHAnsi" w:hAnsiTheme="minorHAnsi" w:cs="Arial"/>
                <w:color w:val="000000"/>
                <w:sz w:val="18"/>
                <w:szCs w:val="18"/>
              </w:rPr>
              <w:t xml:space="preserve">845,951 </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D6C6879"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color w:val="000000"/>
                <w:sz w:val="18"/>
                <w:szCs w:val="18"/>
              </w:rPr>
              <w:t xml:space="preserve">39,866,677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F0BC27" w14:textId="77777777" w:rsidR="006E1EAF" w:rsidRPr="00187193" w:rsidRDefault="006E1EAF" w:rsidP="000815F8">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noProof/>
                <w:color w:val="000000"/>
                <w:sz w:val="18"/>
                <w:szCs w:val="18"/>
              </w:rPr>
              <w:drawing>
                <wp:inline distT="0" distB="0" distL="0" distR="0" wp14:anchorId="04740022" wp14:editId="7135C2E8">
                  <wp:extent cx="10160" cy="101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187193">
              <w:rPr>
                <w:rFonts w:asciiTheme="minorHAnsi" w:hAnsiTheme="minorHAnsi" w:cs="Arial"/>
                <w:color w:val="000000"/>
                <w:sz w:val="18"/>
                <w:szCs w:val="18"/>
              </w:rPr>
              <w:t xml:space="preserve">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86F07F8" w14:textId="4460B5A0" w:rsidR="006E1EAF" w:rsidRPr="00187193" w:rsidRDefault="006E1EAF" w:rsidP="00D25BE7">
            <w:pPr>
              <w:widowControl w:val="0"/>
              <w:autoSpaceDE w:val="0"/>
              <w:autoSpaceDN w:val="0"/>
              <w:adjustRightInd w:val="0"/>
              <w:spacing w:before="60" w:after="60"/>
              <w:ind w:left="170"/>
              <w:jc w:val="right"/>
              <w:rPr>
                <w:rFonts w:asciiTheme="minorHAnsi" w:hAnsiTheme="minorHAnsi" w:cs="Arial"/>
                <w:color w:val="000000"/>
                <w:sz w:val="18"/>
                <w:szCs w:val="18"/>
              </w:rPr>
            </w:pPr>
          </w:p>
        </w:tc>
      </w:tr>
      <w:tr w:rsidR="000E6070" w:rsidRPr="00E65609" w14:paraId="2CF873CE" w14:textId="77777777" w:rsidTr="005218E0">
        <w:trPr>
          <w:jc w:val="center"/>
        </w:trPr>
        <w:tc>
          <w:tcPr>
            <w:tcW w:w="17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E9479FB" w14:textId="77777777" w:rsidR="006E1EAF" w:rsidRPr="00187193" w:rsidRDefault="006E1EAF" w:rsidP="000815F8">
            <w:pPr>
              <w:widowControl w:val="0"/>
              <w:autoSpaceDE w:val="0"/>
              <w:autoSpaceDN w:val="0"/>
              <w:adjustRightInd w:val="0"/>
              <w:spacing w:before="60" w:after="60"/>
              <w:rPr>
                <w:rFonts w:asciiTheme="minorHAnsi" w:hAnsiTheme="minorHAnsi" w:cs="Arial"/>
                <w:color w:val="000000"/>
                <w:sz w:val="18"/>
                <w:szCs w:val="18"/>
              </w:rPr>
            </w:pPr>
            <w:r w:rsidRPr="00187193">
              <w:rPr>
                <w:rFonts w:asciiTheme="minorHAnsi" w:hAnsiTheme="minorHAnsi" w:cs="Arial"/>
                <w:b/>
                <w:bCs/>
                <w:color w:val="000000"/>
                <w:sz w:val="18"/>
                <w:szCs w:val="18"/>
              </w:rPr>
              <w:t>TOTAL</w:t>
            </w:r>
          </w:p>
        </w:tc>
        <w:tc>
          <w:tcPr>
            <w:tcW w:w="152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184C7B" w14:textId="77777777" w:rsidR="006E1EAF" w:rsidRPr="00187193" w:rsidRDefault="006E1EAF" w:rsidP="00187193">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b/>
                <w:bCs/>
                <w:color w:val="000000"/>
                <w:sz w:val="18"/>
                <w:szCs w:val="18"/>
              </w:rPr>
              <w:t xml:space="preserve">1,039,351,131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3ACA4C" w14:textId="77777777" w:rsidR="006E1EAF" w:rsidRPr="00187193" w:rsidRDefault="006E1EAF" w:rsidP="00187193">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b/>
                <w:bCs/>
                <w:color w:val="000000"/>
                <w:sz w:val="18"/>
                <w:szCs w:val="18"/>
              </w:rPr>
              <w:t xml:space="preserve">10,236,300 </w:t>
            </w:r>
          </w:p>
        </w:tc>
        <w:tc>
          <w:tcPr>
            <w:tcW w:w="15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6FA79E" w14:textId="77777777" w:rsidR="006E1EAF" w:rsidRPr="00187193" w:rsidRDefault="006E1EAF" w:rsidP="00187193">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b/>
                <w:bCs/>
                <w:color w:val="000000"/>
                <w:sz w:val="18"/>
                <w:szCs w:val="18"/>
              </w:rPr>
              <w:t xml:space="preserve">38,538,710 </w:t>
            </w:r>
          </w:p>
        </w:tc>
        <w:tc>
          <w:tcPr>
            <w:tcW w:w="130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47E225B" w14:textId="77777777" w:rsidR="006E1EAF" w:rsidRPr="00187193" w:rsidRDefault="006E1EAF" w:rsidP="00187193">
            <w:pPr>
              <w:widowControl w:val="0"/>
              <w:autoSpaceDE w:val="0"/>
              <w:autoSpaceDN w:val="0"/>
              <w:adjustRightInd w:val="0"/>
              <w:spacing w:before="60" w:after="60"/>
              <w:jc w:val="right"/>
              <w:rPr>
                <w:rFonts w:asciiTheme="minorHAnsi" w:hAnsiTheme="minorHAnsi" w:cs="Arial"/>
                <w:color w:val="000000"/>
                <w:sz w:val="18"/>
                <w:szCs w:val="18"/>
              </w:rPr>
            </w:pPr>
            <w:r w:rsidRPr="00187193">
              <w:rPr>
                <w:rFonts w:asciiTheme="minorHAnsi" w:hAnsiTheme="minorHAnsi" w:cs="Arial"/>
                <w:b/>
                <w:bCs/>
                <w:color w:val="000000"/>
                <w:sz w:val="18"/>
                <w:szCs w:val="18"/>
              </w:rPr>
              <w:t xml:space="preserve">1,029,114,831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5F8BB41" w14:textId="77777777" w:rsidR="006E1EAF" w:rsidRPr="00187193" w:rsidRDefault="006E1EAF" w:rsidP="00187193">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b/>
                <w:bCs/>
                <w:color w:val="000000"/>
                <w:sz w:val="18"/>
                <w:szCs w:val="18"/>
              </w:rPr>
              <w:t xml:space="preserve">133,467,189 </w:t>
            </w:r>
          </w:p>
        </w:tc>
        <w:tc>
          <w:tcPr>
            <w:tcW w:w="1441"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23456F4" w14:textId="77777777" w:rsidR="006E1EAF" w:rsidRPr="00187193" w:rsidRDefault="006E1EAF" w:rsidP="00187193">
            <w:pPr>
              <w:widowControl w:val="0"/>
              <w:autoSpaceDE w:val="0"/>
              <w:autoSpaceDN w:val="0"/>
              <w:adjustRightInd w:val="0"/>
              <w:spacing w:before="60" w:after="60"/>
              <w:ind w:left="170"/>
              <w:jc w:val="right"/>
              <w:rPr>
                <w:rFonts w:asciiTheme="minorHAnsi" w:hAnsiTheme="minorHAnsi" w:cs="Arial"/>
                <w:color w:val="000000"/>
                <w:sz w:val="18"/>
                <w:szCs w:val="18"/>
              </w:rPr>
            </w:pPr>
            <w:r w:rsidRPr="00187193">
              <w:rPr>
                <w:rFonts w:asciiTheme="minorHAnsi" w:hAnsiTheme="minorHAnsi" w:cs="Arial"/>
                <w:b/>
                <w:bCs/>
                <w:color w:val="000000"/>
                <w:sz w:val="18"/>
                <w:szCs w:val="18"/>
              </w:rPr>
              <w:t xml:space="preserve">28,431,102 </w:t>
            </w:r>
          </w:p>
        </w:tc>
      </w:tr>
    </w:tbl>
    <w:p w14:paraId="7D400281" w14:textId="77777777" w:rsidR="008C475E" w:rsidRDefault="008C475E">
      <w:pPr>
        <w:rPr>
          <w:rFonts w:asciiTheme="minorHAnsi" w:hAnsiTheme="minorHAnsi"/>
          <w:i/>
          <w:sz w:val="20"/>
          <w:lang w:val="en-GB"/>
        </w:rPr>
      </w:pPr>
    </w:p>
    <w:p w14:paraId="4B593C31" w14:textId="5CAD3E68" w:rsidR="008C475E" w:rsidRPr="00D8583C" w:rsidRDefault="008C475E">
      <w:pPr>
        <w:rPr>
          <w:rFonts w:asciiTheme="minorHAnsi" w:hAnsiTheme="minorHAnsi"/>
          <w:i/>
          <w:sz w:val="20"/>
          <w:lang w:val="en-GB"/>
        </w:rPr>
      </w:pPr>
      <w:r w:rsidRPr="00D8583C">
        <w:rPr>
          <w:rFonts w:asciiTheme="minorHAnsi" w:hAnsiTheme="minorHAnsi"/>
          <w:i/>
          <w:sz w:val="20"/>
          <w:lang w:val="en-GB"/>
        </w:rPr>
        <w:t>Source:</w:t>
      </w:r>
      <w:r>
        <w:rPr>
          <w:rFonts w:asciiTheme="minorHAnsi" w:hAnsiTheme="minorHAnsi"/>
          <w:i/>
          <w:sz w:val="20"/>
          <w:lang w:val="en-GB"/>
        </w:rPr>
        <w:t xml:space="preserve"> Report of the</w:t>
      </w:r>
      <w:r w:rsidRPr="00D8583C">
        <w:rPr>
          <w:rFonts w:asciiTheme="minorHAnsi" w:hAnsiTheme="minorHAnsi"/>
          <w:i/>
          <w:sz w:val="20"/>
          <w:lang w:val="en-GB"/>
        </w:rPr>
        <w:t xml:space="preserve"> </w:t>
      </w:r>
      <w:r>
        <w:rPr>
          <w:rFonts w:asciiTheme="minorHAnsi" w:hAnsiTheme="minorHAnsi"/>
          <w:i/>
          <w:sz w:val="20"/>
          <w:lang w:val="en-GB"/>
        </w:rPr>
        <w:t>Auditor-General on the Consolidated Financial Statements of the Government of Lesotho</w:t>
      </w:r>
    </w:p>
    <w:p w14:paraId="0F6FB401" w14:textId="77777777" w:rsidR="008C475E" w:rsidRPr="00D25BE7" w:rsidRDefault="008C475E">
      <w:pPr>
        <w:rPr>
          <w:rFonts w:asciiTheme="minorHAnsi" w:hAnsiTheme="minorHAnsi"/>
          <w:color w:val="000000" w:themeColor="text1"/>
          <w:lang w:val="en-GB"/>
        </w:rPr>
      </w:pPr>
    </w:p>
    <w:p w14:paraId="595C55C1" w14:textId="13211852" w:rsidR="00AC5952" w:rsidRPr="00187193" w:rsidRDefault="00AC5952" w:rsidP="00D25BE7">
      <w:pPr>
        <w:pStyle w:val="ListParagraph"/>
        <w:ind w:left="425" w:hanging="425"/>
        <w:rPr>
          <w:rFonts w:asciiTheme="minorHAnsi" w:hAnsiTheme="minorHAnsi"/>
          <w:color w:val="000000" w:themeColor="text1"/>
          <w:lang w:val="en-GB"/>
        </w:rPr>
      </w:pPr>
      <w:r>
        <w:rPr>
          <w:rFonts w:asciiTheme="minorHAnsi" w:hAnsiTheme="minorHAnsi"/>
          <w:color w:val="000000" w:themeColor="text1"/>
          <w:lang w:val="en-GB"/>
        </w:rPr>
        <w:t xml:space="preserve">The closing balance of M 1,029,114,831 represents </w:t>
      </w:r>
      <w:r w:rsidR="00CF245D">
        <w:rPr>
          <w:rFonts w:asciiTheme="minorHAnsi" w:hAnsiTheme="minorHAnsi"/>
          <w:color w:val="000000" w:themeColor="text1"/>
          <w:lang w:val="en-GB"/>
        </w:rPr>
        <w:t>9.6% of Lesotho’s External Public Debt.</w:t>
      </w:r>
    </w:p>
    <w:p w14:paraId="7BA7E447" w14:textId="2E692052" w:rsidR="00707EE3" w:rsidRPr="00963EDE" w:rsidRDefault="00292A24" w:rsidP="00D25BE7">
      <w:pPr>
        <w:pStyle w:val="ListParagraph"/>
        <w:ind w:left="425" w:hanging="425"/>
        <w:rPr>
          <w:rFonts w:asciiTheme="minorHAnsi" w:hAnsiTheme="minorHAnsi"/>
          <w:color w:val="000000" w:themeColor="text1"/>
          <w:lang w:val="en-GB"/>
        </w:rPr>
      </w:pPr>
      <w:r w:rsidRPr="00D25BE7">
        <w:rPr>
          <w:rFonts w:asciiTheme="minorHAnsi" w:hAnsiTheme="minorHAnsi" w:cs="Verdana Bold"/>
          <w:color w:val="000000"/>
          <w:szCs w:val="22"/>
        </w:rPr>
        <w:t>WASCO</w:t>
      </w:r>
      <w:r w:rsidR="003F6270" w:rsidRPr="00D25BE7">
        <w:rPr>
          <w:rFonts w:asciiTheme="minorHAnsi" w:hAnsiTheme="minorHAnsi" w:cs="Verdana Bold"/>
          <w:color w:val="000000"/>
          <w:szCs w:val="22"/>
        </w:rPr>
        <w:t xml:space="preserve"> </w:t>
      </w:r>
      <w:r w:rsidRPr="00963EDE">
        <w:rPr>
          <w:rFonts w:asciiTheme="minorHAnsi" w:hAnsiTheme="minorHAnsi"/>
        </w:rPr>
        <w:t xml:space="preserve">was able to make the principal repayment on one account but could not pay interest on all four accounts. At the end of the financial year WASCO was in arrears of M99,610,983 and M20,872,031 for principal </w:t>
      </w:r>
      <w:r w:rsidR="00454401" w:rsidRPr="00963EDE">
        <w:rPr>
          <w:rFonts w:asciiTheme="minorHAnsi" w:hAnsiTheme="minorHAnsi"/>
        </w:rPr>
        <w:t>and interest payments respectively. It is worth mentioning that in 2016/17 WASCO did not make repayments of both principal and interest on all four accounts.</w:t>
      </w:r>
      <w:r w:rsidR="00454401" w:rsidRPr="00963EDE">
        <w:rPr>
          <w:rFonts w:asciiTheme="minorHAnsi" w:hAnsiTheme="minorHAnsi"/>
          <w:color w:val="000000" w:themeColor="text1"/>
          <w:lang w:val="en-GB"/>
        </w:rPr>
        <w:t xml:space="preserve"> </w:t>
      </w:r>
    </w:p>
    <w:p w14:paraId="1909DBBC" w14:textId="73311810" w:rsidR="0086254C" w:rsidRPr="00D25BE7" w:rsidRDefault="003F6270" w:rsidP="00D25BE7">
      <w:pPr>
        <w:pStyle w:val="ListParagraph"/>
        <w:ind w:left="425" w:hanging="425"/>
        <w:rPr>
          <w:rFonts w:asciiTheme="minorHAnsi" w:hAnsiTheme="minorHAnsi"/>
          <w:color w:val="000000" w:themeColor="text1"/>
          <w:lang w:val="en-GB"/>
        </w:rPr>
      </w:pPr>
      <w:r w:rsidRPr="00D25BE7">
        <w:rPr>
          <w:rFonts w:asciiTheme="minorHAnsi" w:hAnsiTheme="minorHAnsi" w:cs="Verdana Bold"/>
          <w:color w:val="000000"/>
          <w:szCs w:val="22"/>
        </w:rPr>
        <w:t>LNDC was in arrears of M18,306,456 and M7,559,071 for both principal and</w:t>
      </w:r>
      <w:r w:rsidR="00292A24" w:rsidRPr="00D25BE7">
        <w:rPr>
          <w:rFonts w:asciiTheme="minorHAnsi" w:hAnsiTheme="minorHAnsi" w:cs="Verdana Bold"/>
          <w:color w:val="000000"/>
          <w:szCs w:val="22"/>
        </w:rPr>
        <w:t xml:space="preserve"> interest payments respectively. For the last two financial years ended 2017/18, no </w:t>
      </w:r>
      <w:r w:rsidR="00292A24" w:rsidRPr="00292A24">
        <w:rPr>
          <w:rFonts w:asciiTheme="minorHAnsi" w:hAnsiTheme="minorHAnsi" w:cs="Verdana Bold"/>
          <w:color w:val="000000"/>
          <w:szCs w:val="22"/>
        </w:rPr>
        <w:t>repayment of the principal has</w:t>
      </w:r>
      <w:r w:rsidR="00292A24" w:rsidRPr="00D25BE7">
        <w:rPr>
          <w:rFonts w:asciiTheme="minorHAnsi" w:hAnsiTheme="minorHAnsi" w:cs="Verdana Bold"/>
          <w:color w:val="000000"/>
          <w:szCs w:val="22"/>
        </w:rPr>
        <w:t xml:space="preserve"> been made on its two accounts.</w:t>
      </w:r>
    </w:p>
    <w:p w14:paraId="68002AD5" w14:textId="3D29DBF9" w:rsidR="0032306D" w:rsidRPr="008C729E" w:rsidRDefault="0032306D" w:rsidP="00D25BE7">
      <w:pPr>
        <w:pStyle w:val="ListParagraph"/>
        <w:ind w:left="425" w:hanging="425"/>
        <w:rPr>
          <w:rFonts w:asciiTheme="minorHAnsi" w:hAnsiTheme="minorHAnsi"/>
          <w:color w:val="000000" w:themeColor="text1"/>
          <w:lang w:val="en-GB"/>
        </w:rPr>
      </w:pPr>
      <w:r w:rsidRPr="008C729E">
        <w:rPr>
          <w:rFonts w:asciiTheme="minorHAnsi" w:hAnsiTheme="minorHAnsi" w:cs="Verdana Bold"/>
          <w:color w:val="000000"/>
          <w:szCs w:val="22"/>
        </w:rPr>
        <w:t>LEC had made repayments on both principal and interest and had no arrears.</w:t>
      </w:r>
    </w:p>
    <w:p w14:paraId="3BE13911" w14:textId="6BC6D910" w:rsidR="00B93E2F" w:rsidRPr="008C729E" w:rsidRDefault="00707EE3" w:rsidP="00243C32">
      <w:pPr>
        <w:pStyle w:val="ListParagraph"/>
        <w:spacing w:after="0"/>
        <w:ind w:left="425" w:hanging="425"/>
        <w:rPr>
          <w:rFonts w:asciiTheme="minorHAnsi" w:hAnsiTheme="minorHAnsi"/>
          <w:color w:val="000000" w:themeColor="text1"/>
          <w:lang w:val="en-GB"/>
        </w:rPr>
      </w:pPr>
      <w:r w:rsidRPr="008C729E">
        <w:rPr>
          <w:rFonts w:asciiTheme="minorHAnsi" w:hAnsiTheme="minorHAnsi"/>
          <w:color w:val="000000" w:themeColor="text1"/>
          <w:lang w:val="en-GB"/>
        </w:rPr>
        <w:t>The Report of the Auditor General also notes amounts as follows for outstanding advances to SOEs:</w:t>
      </w:r>
    </w:p>
    <w:p w14:paraId="07AFD85E" w14:textId="46822AC1" w:rsidR="000F5EE5" w:rsidRPr="008C729E" w:rsidRDefault="00B93E2F" w:rsidP="00243C32">
      <w:pPr>
        <w:pStyle w:val="ListParagraph"/>
        <w:numPr>
          <w:ilvl w:val="0"/>
          <w:numId w:val="0"/>
        </w:numPr>
        <w:spacing w:after="0"/>
        <w:ind w:left="1435"/>
        <w:rPr>
          <w:rFonts w:asciiTheme="minorHAnsi" w:hAnsiTheme="minorHAnsi"/>
          <w:b/>
          <w:sz w:val="20"/>
          <w:lang w:val="en-GB"/>
        </w:rPr>
      </w:pPr>
      <w:r w:rsidRPr="008C729E">
        <w:rPr>
          <w:rFonts w:asciiTheme="minorHAnsi" w:hAnsiTheme="minorHAnsi"/>
          <w:b/>
          <w:sz w:val="20"/>
          <w:lang w:val="en-GB"/>
        </w:rPr>
        <w:t xml:space="preserve">Table </w:t>
      </w:r>
      <w:r w:rsidR="00074420" w:rsidRPr="008C729E">
        <w:rPr>
          <w:rFonts w:asciiTheme="minorHAnsi" w:hAnsiTheme="minorHAnsi"/>
          <w:b/>
          <w:sz w:val="20"/>
          <w:lang w:val="en-GB"/>
        </w:rPr>
        <w:t>10</w:t>
      </w:r>
      <w:r w:rsidRPr="008C729E">
        <w:rPr>
          <w:rFonts w:asciiTheme="minorHAnsi" w:hAnsiTheme="minorHAnsi"/>
          <w:b/>
          <w:sz w:val="20"/>
          <w:lang w:val="en-GB"/>
        </w:rPr>
        <w:t>: Government outstanding advances with SOEs</w:t>
      </w:r>
    </w:p>
    <w:p w14:paraId="457110D4" w14:textId="77777777" w:rsidR="000F5EE5" w:rsidRPr="00243C32" w:rsidRDefault="000F5EE5" w:rsidP="00243C32">
      <w:pPr>
        <w:pStyle w:val="ListParagraph"/>
        <w:numPr>
          <w:ilvl w:val="0"/>
          <w:numId w:val="0"/>
        </w:numPr>
        <w:spacing w:after="0"/>
        <w:ind w:left="1435"/>
        <w:rPr>
          <w:rFonts w:asciiTheme="minorHAnsi" w:hAnsiTheme="minorHAnsi"/>
          <w:b/>
          <w:sz w:val="20"/>
          <w:highlight w:val="yellow"/>
          <w:lang w:val="en-GB"/>
        </w:rPr>
      </w:pPr>
    </w:p>
    <w:tbl>
      <w:tblPr>
        <w:tblW w:w="0" w:type="auto"/>
        <w:jc w:val="center"/>
        <w:tblBorders>
          <w:top w:val="nil"/>
          <w:left w:val="nil"/>
          <w:right w:val="nil"/>
        </w:tblBorders>
        <w:tblLayout w:type="fixed"/>
        <w:tblLook w:val="0000" w:firstRow="0" w:lastRow="0" w:firstColumn="0" w:lastColumn="0" w:noHBand="0" w:noVBand="0"/>
      </w:tblPr>
      <w:tblGrid>
        <w:gridCol w:w="2802"/>
        <w:gridCol w:w="1842"/>
      </w:tblGrid>
      <w:tr w:rsidR="000F5EE5" w:rsidRPr="000F5EE5" w14:paraId="4EE23821" w14:textId="77777777" w:rsidTr="00243C32">
        <w:trPr>
          <w:cantSplit/>
          <w:jc w:val="center"/>
        </w:trPr>
        <w:tc>
          <w:tcPr>
            <w:tcW w:w="28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0C496C" w14:textId="77777777" w:rsidR="000F5EE5" w:rsidRPr="00F64864" w:rsidRDefault="000F5EE5" w:rsidP="000F5EE5">
            <w:pPr>
              <w:keepNext/>
              <w:keepLines/>
              <w:widowControl w:val="0"/>
              <w:autoSpaceDE w:val="0"/>
              <w:autoSpaceDN w:val="0"/>
              <w:adjustRightInd w:val="0"/>
              <w:spacing w:before="40" w:after="40"/>
              <w:outlineLvl w:val="4"/>
              <w:rPr>
                <w:rFonts w:asciiTheme="minorHAnsi" w:hAnsiTheme="minorHAnsi" w:cs="Times Roman"/>
                <w:color w:val="000000"/>
                <w:sz w:val="18"/>
                <w:szCs w:val="18"/>
              </w:rPr>
            </w:pPr>
            <w:r w:rsidRPr="00F64864">
              <w:rPr>
                <w:rFonts w:asciiTheme="minorHAnsi" w:hAnsiTheme="minorHAnsi" w:cs="Verdana Bold"/>
                <w:b/>
                <w:bCs/>
                <w:color w:val="000000"/>
                <w:sz w:val="18"/>
                <w:szCs w:val="18"/>
              </w:rPr>
              <w:t xml:space="preserve">Entity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2695B58" w14:textId="77777777" w:rsidR="000F5EE5" w:rsidRPr="00F64864" w:rsidRDefault="000F5EE5" w:rsidP="000F5EE5">
            <w:pPr>
              <w:keepNext/>
              <w:keepLines/>
              <w:widowControl w:val="0"/>
              <w:autoSpaceDE w:val="0"/>
              <w:autoSpaceDN w:val="0"/>
              <w:adjustRightInd w:val="0"/>
              <w:spacing w:before="40" w:after="40"/>
              <w:jc w:val="right"/>
              <w:outlineLvl w:val="4"/>
              <w:rPr>
                <w:rFonts w:asciiTheme="minorHAnsi" w:hAnsiTheme="minorHAnsi" w:cs="Times Roman"/>
                <w:color w:val="000000"/>
                <w:sz w:val="18"/>
                <w:szCs w:val="18"/>
              </w:rPr>
            </w:pPr>
            <w:r w:rsidRPr="00F64864">
              <w:rPr>
                <w:rFonts w:asciiTheme="minorHAnsi" w:hAnsiTheme="minorHAnsi" w:cs="Verdana Bold"/>
                <w:b/>
                <w:bCs/>
                <w:color w:val="000000"/>
                <w:sz w:val="18"/>
                <w:szCs w:val="18"/>
              </w:rPr>
              <w:t>Amount M</w:t>
            </w:r>
          </w:p>
        </w:tc>
      </w:tr>
      <w:tr w:rsidR="000F5EE5" w:rsidRPr="000F5EE5" w14:paraId="61871664" w14:textId="77777777" w:rsidTr="00243C32">
        <w:tblPrEx>
          <w:tblBorders>
            <w:top w:val="none" w:sz="0" w:space="0" w:color="auto"/>
          </w:tblBorders>
        </w:tblPrEx>
        <w:trPr>
          <w:cantSplit/>
          <w:jc w:val="center"/>
        </w:trPr>
        <w:tc>
          <w:tcPr>
            <w:tcW w:w="28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902686" w14:textId="77777777" w:rsidR="000F5EE5" w:rsidRPr="00F64864" w:rsidRDefault="000F5EE5" w:rsidP="000F5EE5">
            <w:pPr>
              <w:keepNext/>
              <w:keepLines/>
              <w:widowControl w:val="0"/>
              <w:autoSpaceDE w:val="0"/>
              <w:autoSpaceDN w:val="0"/>
              <w:adjustRightInd w:val="0"/>
              <w:spacing w:before="40" w:after="40"/>
              <w:outlineLvl w:val="4"/>
              <w:rPr>
                <w:rFonts w:asciiTheme="minorHAnsi" w:hAnsiTheme="minorHAnsi" w:cs="Times Roman"/>
                <w:color w:val="000000"/>
                <w:sz w:val="18"/>
                <w:szCs w:val="18"/>
              </w:rPr>
            </w:pPr>
            <w:r w:rsidRPr="00F64864">
              <w:rPr>
                <w:rFonts w:asciiTheme="minorHAnsi" w:hAnsiTheme="minorHAnsi" w:cs="Verdana Bold"/>
                <w:color w:val="000000"/>
                <w:sz w:val="18"/>
                <w:szCs w:val="18"/>
              </w:rPr>
              <w:t>LHLDC</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22C908" w14:textId="77777777" w:rsidR="000F5EE5" w:rsidRPr="00F64864" w:rsidRDefault="000F5EE5" w:rsidP="000F5EE5">
            <w:pPr>
              <w:keepNext/>
              <w:keepLines/>
              <w:widowControl w:val="0"/>
              <w:autoSpaceDE w:val="0"/>
              <w:autoSpaceDN w:val="0"/>
              <w:adjustRightInd w:val="0"/>
              <w:spacing w:before="40" w:after="40"/>
              <w:jc w:val="right"/>
              <w:outlineLvl w:val="4"/>
              <w:rPr>
                <w:rFonts w:asciiTheme="minorHAnsi" w:hAnsiTheme="minorHAnsi" w:cs="Times Roman"/>
                <w:color w:val="000000"/>
                <w:sz w:val="18"/>
                <w:szCs w:val="18"/>
              </w:rPr>
            </w:pPr>
            <w:r w:rsidRPr="00F64864">
              <w:rPr>
                <w:rFonts w:asciiTheme="minorHAnsi" w:hAnsiTheme="minorHAnsi" w:cs="Verdana Bold"/>
                <w:color w:val="000000"/>
                <w:sz w:val="18"/>
                <w:szCs w:val="18"/>
              </w:rPr>
              <w:t xml:space="preserve">895,112 </w:t>
            </w:r>
            <w:r w:rsidRPr="00F64864">
              <w:rPr>
                <w:rFonts w:asciiTheme="minorHAnsi" w:hAnsiTheme="minorHAnsi" w:cs="Times Roman"/>
                <w:color w:val="000000"/>
                <w:sz w:val="18"/>
                <w:szCs w:val="18"/>
              </w:rPr>
              <w:t xml:space="preserve"> </w:t>
            </w:r>
          </w:p>
        </w:tc>
      </w:tr>
      <w:tr w:rsidR="000F5EE5" w:rsidRPr="000F5EE5" w14:paraId="249638E7" w14:textId="77777777" w:rsidTr="00243C32">
        <w:tblPrEx>
          <w:tblBorders>
            <w:top w:val="none" w:sz="0" w:space="0" w:color="auto"/>
          </w:tblBorders>
        </w:tblPrEx>
        <w:trPr>
          <w:cantSplit/>
          <w:jc w:val="center"/>
        </w:trPr>
        <w:tc>
          <w:tcPr>
            <w:tcW w:w="28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72D60B" w14:textId="77777777" w:rsidR="000F5EE5" w:rsidRPr="00F64864" w:rsidRDefault="000F5EE5" w:rsidP="000F5EE5">
            <w:pPr>
              <w:keepNext/>
              <w:keepLines/>
              <w:widowControl w:val="0"/>
              <w:autoSpaceDE w:val="0"/>
              <w:autoSpaceDN w:val="0"/>
              <w:adjustRightInd w:val="0"/>
              <w:spacing w:before="40" w:after="40"/>
              <w:outlineLvl w:val="4"/>
              <w:rPr>
                <w:rFonts w:asciiTheme="minorHAnsi" w:hAnsiTheme="minorHAnsi" w:cs="Times Roman"/>
                <w:color w:val="000000"/>
                <w:sz w:val="18"/>
                <w:szCs w:val="18"/>
              </w:rPr>
            </w:pPr>
            <w:r w:rsidRPr="00F64864">
              <w:rPr>
                <w:rFonts w:asciiTheme="minorHAnsi" w:hAnsiTheme="minorHAnsi" w:cs="Verdana Bold"/>
                <w:color w:val="000000"/>
                <w:sz w:val="18"/>
                <w:szCs w:val="18"/>
              </w:rPr>
              <w:t xml:space="preserve">LNDC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E8A240F" w14:textId="77777777" w:rsidR="000F5EE5" w:rsidRPr="00F64864" w:rsidRDefault="000F5EE5" w:rsidP="000F5EE5">
            <w:pPr>
              <w:keepNext/>
              <w:keepLines/>
              <w:widowControl w:val="0"/>
              <w:autoSpaceDE w:val="0"/>
              <w:autoSpaceDN w:val="0"/>
              <w:adjustRightInd w:val="0"/>
              <w:spacing w:before="40" w:after="40"/>
              <w:jc w:val="right"/>
              <w:outlineLvl w:val="4"/>
              <w:rPr>
                <w:rFonts w:asciiTheme="minorHAnsi" w:hAnsiTheme="minorHAnsi" w:cs="Times Roman"/>
                <w:color w:val="000000"/>
                <w:sz w:val="18"/>
                <w:szCs w:val="18"/>
              </w:rPr>
            </w:pPr>
            <w:r w:rsidRPr="00F64864">
              <w:rPr>
                <w:rFonts w:asciiTheme="minorHAnsi" w:hAnsiTheme="minorHAnsi" w:cs="Verdana Bold"/>
                <w:color w:val="000000"/>
                <w:sz w:val="18"/>
                <w:szCs w:val="18"/>
              </w:rPr>
              <w:t xml:space="preserve">5,379,987 </w:t>
            </w:r>
            <w:r w:rsidRPr="00F64864">
              <w:rPr>
                <w:rFonts w:asciiTheme="minorHAnsi" w:hAnsiTheme="minorHAnsi" w:cs="Times Roman"/>
                <w:color w:val="000000"/>
                <w:sz w:val="18"/>
                <w:szCs w:val="18"/>
              </w:rPr>
              <w:t xml:space="preserve"> </w:t>
            </w:r>
          </w:p>
        </w:tc>
      </w:tr>
      <w:tr w:rsidR="000F5EE5" w:rsidRPr="000F5EE5" w14:paraId="2BB07D7A" w14:textId="77777777" w:rsidTr="00243C32">
        <w:tblPrEx>
          <w:tblBorders>
            <w:top w:val="none" w:sz="0" w:space="0" w:color="auto"/>
          </w:tblBorders>
        </w:tblPrEx>
        <w:trPr>
          <w:cantSplit/>
          <w:jc w:val="center"/>
        </w:trPr>
        <w:tc>
          <w:tcPr>
            <w:tcW w:w="28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211CD83" w14:textId="77777777" w:rsidR="000F5EE5" w:rsidRPr="00F64864" w:rsidRDefault="000F5EE5" w:rsidP="000F5EE5">
            <w:pPr>
              <w:keepNext/>
              <w:keepLines/>
              <w:widowControl w:val="0"/>
              <w:autoSpaceDE w:val="0"/>
              <w:autoSpaceDN w:val="0"/>
              <w:adjustRightInd w:val="0"/>
              <w:spacing w:before="40" w:after="40"/>
              <w:outlineLvl w:val="4"/>
              <w:rPr>
                <w:rFonts w:asciiTheme="minorHAnsi" w:hAnsiTheme="minorHAnsi" w:cs="Times Roman"/>
                <w:color w:val="000000"/>
                <w:sz w:val="18"/>
                <w:szCs w:val="18"/>
              </w:rPr>
            </w:pPr>
            <w:r w:rsidRPr="00F64864">
              <w:rPr>
                <w:rFonts w:asciiTheme="minorHAnsi" w:hAnsiTheme="minorHAnsi" w:cs="Verdana Bold"/>
                <w:color w:val="000000"/>
                <w:sz w:val="18"/>
                <w:szCs w:val="18"/>
              </w:rPr>
              <w:t xml:space="preserve">WASCO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05DB07" w14:textId="77777777" w:rsidR="000F5EE5" w:rsidRPr="00F64864" w:rsidRDefault="000F5EE5" w:rsidP="000F5EE5">
            <w:pPr>
              <w:keepNext/>
              <w:keepLines/>
              <w:widowControl w:val="0"/>
              <w:autoSpaceDE w:val="0"/>
              <w:autoSpaceDN w:val="0"/>
              <w:adjustRightInd w:val="0"/>
              <w:spacing w:before="40" w:after="40"/>
              <w:jc w:val="right"/>
              <w:outlineLvl w:val="4"/>
              <w:rPr>
                <w:rFonts w:asciiTheme="minorHAnsi" w:hAnsiTheme="minorHAnsi" w:cs="Times Roman"/>
                <w:color w:val="000000"/>
                <w:sz w:val="18"/>
                <w:szCs w:val="18"/>
              </w:rPr>
            </w:pPr>
            <w:r w:rsidRPr="00F64864">
              <w:rPr>
                <w:rFonts w:asciiTheme="minorHAnsi" w:hAnsiTheme="minorHAnsi" w:cs="Verdana Bold"/>
                <w:color w:val="000000"/>
                <w:sz w:val="18"/>
                <w:szCs w:val="18"/>
              </w:rPr>
              <w:t xml:space="preserve">3,453,056 </w:t>
            </w:r>
          </w:p>
        </w:tc>
      </w:tr>
      <w:tr w:rsidR="000F5EE5" w:rsidRPr="000F5EE5" w14:paraId="3692564E" w14:textId="77777777" w:rsidTr="00243C32">
        <w:tblPrEx>
          <w:tblBorders>
            <w:top w:val="none" w:sz="0" w:space="0" w:color="auto"/>
          </w:tblBorders>
        </w:tblPrEx>
        <w:trPr>
          <w:cantSplit/>
          <w:jc w:val="center"/>
        </w:trPr>
        <w:tc>
          <w:tcPr>
            <w:tcW w:w="28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CCA7462" w14:textId="77777777" w:rsidR="000F5EE5" w:rsidRPr="00F64864" w:rsidRDefault="000F5EE5" w:rsidP="000F5EE5">
            <w:pPr>
              <w:keepNext/>
              <w:keepLines/>
              <w:widowControl w:val="0"/>
              <w:autoSpaceDE w:val="0"/>
              <w:autoSpaceDN w:val="0"/>
              <w:adjustRightInd w:val="0"/>
              <w:spacing w:before="40" w:after="40"/>
              <w:outlineLvl w:val="4"/>
              <w:rPr>
                <w:rFonts w:asciiTheme="minorHAnsi" w:hAnsiTheme="minorHAnsi" w:cs="Times Roman"/>
                <w:color w:val="000000"/>
                <w:sz w:val="18"/>
                <w:szCs w:val="18"/>
              </w:rPr>
            </w:pPr>
            <w:r w:rsidRPr="00F64864">
              <w:rPr>
                <w:rFonts w:asciiTheme="minorHAnsi" w:hAnsiTheme="minorHAnsi" w:cs="Verdana Bold"/>
                <w:color w:val="000000"/>
                <w:sz w:val="18"/>
                <w:szCs w:val="18"/>
              </w:rPr>
              <w:t xml:space="preserve">ECONET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DDF9CE1" w14:textId="77777777" w:rsidR="000F5EE5" w:rsidRPr="00F64864" w:rsidRDefault="000F5EE5" w:rsidP="000F5EE5">
            <w:pPr>
              <w:keepNext/>
              <w:keepLines/>
              <w:widowControl w:val="0"/>
              <w:autoSpaceDE w:val="0"/>
              <w:autoSpaceDN w:val="0"/>
              <w:adjustRightInd w:val="0"/>
              <w:spacing w:before="40" w:after="40"/>
              <w:jc w:val="right"/>
              <w:outlineLvl w:val="4"/>
              <w:rPr>
                <w:rFonts w:asciiTheme="minorHAnsi" w:hAnsiTheme="minorHAnsi" w:cs="Times Roman"/>
                <w:color w:val="000000"/>
                <w:sz w:val="18"/>
                <w:szCs w:val="18"/>
              </w:rPr>
            </w:pPr>
            <w:r w:rsidRPr="00F64864">
              <w:rPr>
                <w:rFonts w:asciiTheme="minorHAnsi" w:hAnsiTheme="minorHAnsi" w:cs="Verdana Bold"/>
                <w:color w:val="000000"/>
                <w:sz w:val="18"/>
                <w:szCs w:val="18"/>
              </w:rPr>
              <w:t xml:space="preserve">3,324,194 </w:t>
            </w:r>
            <w:r w:rsidRPr="00F64864">
              <w:rPr>
                <w:rFonts w:asciiTheme="minorHAnsi" w:hAnsiTheme="minorHAnsi" w:cs="Times Roman"/>
                <w:color w:val="000000"/>
                <w:sz w:val="18"/>
                <w:szCs w:val="18"/>
              </w:rPr>
              <w:t xml:space="preserve"> </w:t>
            </w:r>
          </w:p>
        </w:tc>
      </w:tr>
      <w:tr w:rsidR="000F5EE5" w:rsidRPr="000F5EE5" w14:paraId="06C5DC4C" w14:textId="77777777" w:rsidTr="00243C32">
        <w:tblPrEx>
          <w:tblBorders>
            <w:top w:val="none" w:sz="0" w:space="0" w:color="auto"/>
          </w:tblBorders>
        </w:tblPrEx>
        <w:trPr>
          <w:cantSplit/>
          <w:jc w:val="center"/>
        </w:trPr>
        <w:tc>
          <w:tcPr>
            <w:tcW w:w="28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705BDD6" w14:textId="77777777" w:rsidR="000F5EE5" w:rsidRPr="00F64864" w:rsidRDefault="000F5EE5" w:rsidP="000F5EE5">
            <w:pPr>
              <w:keepNext/>
              <w:keepLines/>
              <w:widowControl w:val="0"/>
              <w:autoSpaceDE w:val="0"/>
              <w:autoSpaceDN w:val="0"/>
              <w:adjustRightInd w:val="0"/>
              <w:spacing w:before="40" w:after="40"/>
              <w:outlineLvl w:val="4"/>
              <w:rPr>
                <w:rFonts w:asciiTheme="minorHAnsi" w:hAnsiTheme="minorHAnsi" w:cs="Times Roman"/>
                <w:color w:val="000000"/>
                <w:sz w:val="18"/>
                <w:szCs w:val="18"/>
              </w:rPr>
            </w:pPr>
            <w:r w:rsidRPr="00F64864">
              <w:rPr>
                <w:rFonts w:asciiTheme="minorHAnsi" w:hAnsiTheme="minorHAnsi" w:cs="Verdana Bold"/>
                <w:color w:val="000000"/>
                <w:sz w:val="18"/>
                <w:szCs w:val="18"/>
              </w:rPr>
              <w:t xml:space="preserve">STD Lesotho Bank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25089DE" w14:textId="77777777" w:rsidR="000F5EE5" w:rsidRPr="00F64864" w:rsidRDefault="000F5EE5" w:rsidP="000F5EE5">
            <w:pPr>
              <w:keepNext/>
              <w:keepLines/>
              <w:widowControl w:val="0"/>
              <w:autoSpaceDE w:val="0"/>
              <w:autoSpaceDN w:val="0"/>
              <w:adjustRightInd w:val="0"/>
              <w:spacing w:before="40" w:after="40"/>
              <w:jc w:val="right"/>
              <w:outlineLvl w:val="4"/>
              <w:rPr>
                <w:rFonts w:asciiTheme="minorHAnsi" w:hAnsiTheme="minorHAnsi" w:cs="Times Roman"/>
                <w:color w:val="000000"/>
                <w:sz w:val="18"/>
                <w:szCs w:val="18"/>
              </w:rPr>
            </w:pPr>
            <w:r w:rsidRPr="00F64864">
              <w:rPr>
                <w:rFonts w:asciiTheme="minorHAnsi" w:hAnsiTheme="minorHAnsi" w:cs="Verdana Bold"/>
                <w:color w:val="000000"/>
                <w:sz w:val="18"/>
                <w:szCs w:val="18"/>
              </w:rPr>
              <w:t xml:space="preserve">23,978 </w:t>
            </w:r>
          </w:p>
        </w:tc>
      </w:tr>
      <w:tr w:rsidR="000F5EE5" w:rsidRPr="000F5EE5" w14:paraId="312D41A7" w14:textId="77777777" w:rsidTr="00243C32">
        <w:trPr>
          <w:cantSplit/>
          <w:jc w:val="center"/>
        </w:trPr>
        <w:tc>
          <w:tcPr>
            <w:tcW w:w="280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FA1107F" w14:textId="77777777" w:rsidR="000F5EE5" w:rsidRPr="00F64864" w:rsidRDefault="000F5EE5" w:rsidP="000F5EE5">
            <w:pPr>
              <w:keepNext/>
              <w:keepLines/>
              <w:widowControl w:val="0"/>
              <w:autoSpaceDE w:val="0"/>
              <w:autoSpaceDN w:val="0"/>
              <w:adjustRightInd w:val="0"/>
              <w:spacing w:before="40" w:after="40"/>
              <w:outlineLvl w:val="4"/>
              <w:rPr>
                <w:rFonts w:asciiTheme="minorHAnsi" w:hAnsiTheme="minorHAnsi" w:cs="Times Roman"/>
                <w:color w:val="000000"/>
                <w:sz w:val="18"/>
                <w:szCs w:val="18"/>
              </w:rPr>
            </w:pPr>
            <w:r w:rsidRPr="00F64864">
              <w:rPr>
                <w:rFonts w:asciiTheme="minorHAnsi" w:hAnsiTheme="minorHAnsi" w:cs="Verdana Bold"/>
                <w:b/>
                <w:bCs/>
                <w:color w:val="000000"/>
                <w:sz w:val="18"/>
                <w:szCs w:val="18"/>
              </w:rPr>
              <w:t xml:space="preserve">Total </w:t>
            </w:r>
          </w:p>
        </w:tc>
        <w:tc>
          <w:tcPr>
            <w:tcW w:w="1842"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02BD85" w14:textId="77777777" w:rsidR="000F5EE5" w:rsidRPr="00F64864" w:rsidRDefault="000F5EE5" w:rsidP="000F5EE5">
            <w:pPr>
              <w:keepNext/>
              <w:keepLines/>
              <w:widowControl w:val="0"/>
              <w:autoSpaceDE w:val="0"/>
              <w:autoSpaceDN w:val="0"/>
              <w:adjustRightInd w:val="0"/>
              <w:spacing w:before="40" w:after="40"/>
              <w:jc w:val="right"/>
              <w:outlineLvl w:val="4"/>
              <w:rPr>
                <w:rFonts w:asciiTheme="minorHAnsi" w:hAnsiTheme="minorHAnsi" w:cs="Times Roman"/>
                <w:color w:val="000000"/>
                <w:sz w:val="18"/>
                <w:szCs w:val="18"/>
              </w:rPr>
            </w:pPr>
            <w:r w:rsidRPr="00F64864">
              <w:rPr>
                <w:rFonts w:asciiTheme="minorHAnsi" w:hAnsiTheme="minorHAnsi" w:cs="Verdana Bold"/>
                <w:b/>
                <w:bCs/>
                <w:color w:val="000000"/>
                <w:sz w:val="18"/>
                <w:szCs w:val="18"/>
              </w:rPr>
              <w:t>13,076,327</w:t>
            </w:r>
          </w:p>
        </w:tc>
      </w:tr>
    </w:tbl>
    <w:p w14:paraId="00EC1C62" w14:textId="1F228422" w:rsidR="000F5EE5" w:rsidRPr="00243C32" w:rsidRDefault="000F5EE5" w:rsidP="00243C32">
      <w:pPr>
        <w:widowControl w:val="0"/>
        <w:autoSpaceDE w:val="0"/>
        <w:autoSpaceDN w:val="0"/>
        <w:adjustRightInd w:val="0"/>
        <w:spacing w:after="240" w:line="320" w:lineRule="atLeast"/>
        <w:ind w:left="1440" w:firstLine="720"/>
        <w:rPr>
          <w:rFonts w:asciiTheme="minorHAnsi" w:hAnsiTheme="minorHAnsi" w:cs="Times Roman"/>
          <w:color w:val="000000"/>
          <w:sz w:val="20"/>
        </w:rPr>
      </w:pPr>
      <w:r w:rsidRPr="00243C32">
        <w:rPr>
          <w:rFonts w:asciiTheme="minorHAnsi" w:hAnsiTheme="minorHAnsi" w:cs="Verdana Bold"/>
          <w:b/>
          <w:bCs/>
          <w:color w:val="000000"/>
          <w:sz w:val="20"/>
        </w:rPr>
        <w:t xml:space="preserve">Source: </w:t>
      </w:r>
      <w:r w:rsidRPr="00243C32">
        <w:rPr>
          <w:rFonts w:asciiTheme="minorHAnsi" w:hAnsiTheme="minorHAnsi" w:cs="Verdana Bold"/>
          <w:color w:val="000000"/>
          <w:sz w:val="20"/>
        </w:rPr>
        <w:t xml:space="preserve">Records accompanying Financial Statements </w:t>
      </w:r>
    </w:p>
    <w:p w14:paraId="7238CA25" w14:textId="77777777" w:rsidR="000F5EE5" w:rsidRPr="00243C32" w:rsidRDefault="000F5EE5" w:rsidP="00243C32">
      <w:pPr>
        <w:rPr>
          <w:rFonts w:asciiTheme="minorHAnsi" w:hAnsiTheme="minorHAnsi"/>
          <w:b/>
          <w:sz w:val="20"/>
          <w:highlight w:val="yellow"/>
          <w:lang w:val="en-GB"/>
        </w:rPr>
      </w:pPr>
    </w:p>
    <w:p w14:paraId="47984771" w14:textId="3063E99E" w:rsidR="006972EB" w:rsidRPr="00D25BE7" w:rsidRDefault="00EC53B2" w:rsidP="00C61C0B">
      <w:pPr>
        <w:pStyle w:val="ListParagraph"/>
        <w:ind w:left="425" w:hanging="425"/>
        <w:rPr>
          <w:rFonts w:asciiTheme="minorHAnsi" w:hAnsiTheme="minorHAnsi"/>
          <w:color w:val="000000" w:themeColor="text1"/>
          <w:lang w:val="en-GB"/>
        </w:rPr>
      </w:pPr>
      <w:r w:rsidRPr="00D25BE7">
        <w:rPr>
          <w:rFonts w:asciiTheme="minorHAnsi" w:hAnsiTheme="minorHAnsi"/>
          <w:lang w:val="en-GB"/>
        </w:rPr>
        <w:t xml:space="preserve">The PFMAA requires a public enterprise (including SOEs) to obtain the approval of the Minister of Finance for foreign loans. Before approving any borrowing or guarantee the PFMAA requires that the Minister be satisfied that the recipients have the capacity to repay the debt. Experience </w:t>
      </w:r>
      <w:r w:rsidRPr="00D25BE7">
        <w:rPr>
          <w:rFonts w:asciiTheme="minorHAnsi" w:hAnsiTheme="minorHAnsi"/>
          <w:lang w:val="en-GB"/>
        </w:rPr>
        <w:lastRenderedPageBreak/>
        <w:t xml:space="preserve">shows that </w:t>
      </w:r>
      <w:proofErr w:type="spellStart"/>
      <w:r w:rsidRPr="00D25BE7">
        <w:rPr>
          <w:rFonts w:asciiTheme="minorHAnsi" w:hAnsiTheme="minorHAnsi"/>
          <w:lang w:val="en-GB"/>
        </w:rPr>
        <w:t>MoF</w:t>
      </w:r>
      <w:proofErr w:type="spellEnd"/>
      <w:r w:rsidRPr="00D25BE7">
        <w:rPr>
          <w:rFonts w:asciiTheme="minorHAnsi" w:hAnsiTheme="minorHAnsi"/>
          <w:lang w:val="en-GB"/>
        </w:rPr>
        <w:t xml:space="preserve"> borrows on the external market and on-lends the funds to the public enterprise so that GoL becomes the primary obligor for the loan. </w:t>
      </w:r>
      <w:proofErr w:type="spellStart"/>
      <w:r w:rsidRPr="00D25BE7">
        <w:rPr>
          <w:rFonts w:asciiTheme="minorHAnsi" w:hAnsiTheme="minorHAnsi"/>
          <w:lang w:val="en-GB"/>
        </w:rPr>
        <w:t>MoF</w:t>
      </w:r>
      <w:proofErr w:type="spellEnd"/>
      <w:r w:rsidRPr="00D25BE7">
        <w:rPr>
          <w:rFonts w:asciiTheme="minorHAnsi" w:hAnsiTheme="minorHAnsi"/>
          <w:lang w:val="en-GB"/>
        </w:rPr>
        <w:t xml:space="preserve"> should be carrying out an assessment of the request for foreign borrowing including analysis of fiscal risk arising from financial analysis of the public enterprise, the use of funds and the public enterprise capacity to repay, as well as analysis of fiscal risk arising from the additional debt that is incurred. </w:t>
      </w:r>
      <w:proofErr w:type="spellStart"/>
      <w:r w:rsidRPr="00D25BE7">
        <w:rPr>
          <w:rFonts w:asciiTheme="minorHAnsi" w:hAnsiTheme="minorHAnsi"/>
          <w:lang w:val="en-GB"/>
        </w:rPr>
        <w:t>MoF</w:t>
      </w:r>
      <w:proofErr w:type="spellEnd"/>
      <w:r w:rsidRPr="00D25BE7">
        <w:rPr>
          <w:rFonts w:asciiTheme="minorHAnsi" w:hAnsiTheme="minorHAnsi"/>
          <w:lang w:val="en-GB"/>
        </w:rPr>
        <w:t xml:space="preserve"> should go beyond reviewing the information provided by the public enterprise in its request.</w:t>
      </w:r>
      <w:r w:rsidR="006972EB" w:rsidRPr="00D25BE7">
        <w:rPr>
          <w:rFonts w:asciiTheme="minorHAnsi" w:hAnsiTheme="minorHAnsi"/>
          <w:lang w:val="en-GB"/>
        </w:rPr>
        <w:t xml:space="preserve"> </w:t>
      </w:r>
    </w:p>
    <w:p w14:paraId="35F85F9C" w14:textId="68CFD128" w:rsidR="00CD1F33" w:rsidRPr="00D25BE7" w:rsidRDefault="00CD1F33" w:rsidP="0058170B">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 xml:space="preserve">The PFMAA further requires all public enterprises (including SOEs) to issue annual reports that include plans and forecasts for the next 3 years. Currently, </w:t>
      </w:r>
      <w:r w:rsidR="001F5F69">
        <w:rPr>
          <w:rFonts w:asciiTheme="minorHAnsi" w:hAnsiTheme="minorHAnsi"/>
          <w:color w:val="000000" w:themeColor="text1"/>
          <w:lang w:val="en-GB"/>
        </w:rPr>
        <w:t xml:space="preserve">not </w:t>
      </w:r>
      <w:r w:rsidR="00CF245D">
        <w:rPr>
          <w:rFonts w:asciiTheme="minorHAnsi" w:hAnsiTheme="minorHAnsi"/>
          <w:color w:val="000000" w:themeColor="text1"/>
          <w:lang w:val="en-GB"/>
        </w:rPr>
        <w:t>all enterprises</w:t>
      </w:r>
      <w:r w:rsidR="001F5F69">
        <w:rPr>
          <w:rFonts w:asciiTheme="minorHAnsi" w:hAnsiTheme="minorHAnsi"/>
          <w:color w:val="000000" w:themeColor="text1"/>
          <w:lang w:val="en-GB"/>
        </w:rPr>
        <w:t xml:space="preserve"> comply with this requirement and often even if they are prepared, </w:t>
      </w:r>
      <w:r w:rsidRPr="00D25BE7">
        <w:rPr>
          <w:rFonts w:asciiTheme="minorHAnsi" w:hAnsiTheme="minorHAnsi"/>
          <w:color w:val="000000" w:themeColor="text1"/>
          <w:lang w:val="en-GB"/>
        </w:rPr>
        <w:t>PSD does not receive copies of such plans</w:t>
      </w:r>
      <w:r w:rsidR="001F5F69">
        <w:rPr>
          <w:rFonts w:asciiTheme="minorHAnsi" w:hAnsiTheme="minorHAnsi"/>
          <w:color w:val="000000" w:themeColor="text1"/>
          <w:lang w:val="en-GB"/>
        </w:rPr>
        <w:t>. M</w:t>
      </w:r>
      <w:r w:rsidR="002755EC" w:rsidRPr="00D25BE7">
        <w:rPr>
          <w:rFonts w:asciiTheme="minorHAnsi" w:hAnsiTheme="minorHAnsi"/>
          <w:color w:val="000000" w:themeColor="text1"/>
          <w:lang w:val="en-GB"/>
        </w:rPr>
        <w:t>onitoring is confined mostly to analysis of audited financial statements (AFS). In time, it is anticipated that PSD will broaden scope and become more familiar with SOE plans and operations and will be able to negotiate more KPIs and targets to assist in performance improvement.</w:t>
      </w:r>
    </w:p>
    <w:p w14:paraId="260E5458" w14:textId="7EE53ECA" w:rsidR="00403F02" w:rsidRPr="00D25BE7" w:rsidRDefault="00EC53B2" w:rsidP="0058170B">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 xml:space="preserve">There is room for improvement in </w:t>
      </w:r>
      <w:r w:rsidR="002755EC" w:rsidRPr="00D25BE7">
        <w:rPr>
          <w:rFonts w:asciiTheme="minorHAnsi" w:hAnsiTheme="minorHAnsi"/>
          <w:color w:val="000000" w:themeColor="text1"/>
          <w:lang w:val="en-GB"/>
        </w:rPr>
        <w:t xml:space="preserve">governance and </w:t>
      </w:r>
      <w:r w:rsidRPr="00D25BE7">
        <w:rPr>
          <w:rFonts w:asciiTheme="minorHAnsi" w:hAnsiTheme="minorHAnsi"/>
          <w:color w:val="000000" w:themeColor="text1"/>
          <w:lang w:val="en-GB"/>
        </w:rPr>
        <w:t xml:space="preserve">fiscal risk management from SOEs and a role for PSD to better liaise with other </w:t>
      </w:r>
      <w:proofErr w:type="spellStart"/>
      <w:r w:rsidRPr="00D25BE7">
        <w:rPr>
          <w:rFonts w:asciiTheme="minorHAnsi" w:hAnsiTheme="minorHAnsi"/>
          <w:color w:val="000000" w:themeColor="text1"/>
          <w:lang w:val="en-GB"/>
        </w:rPr>
        <w:t>MoF</w:t>
      </w:r>
      <w:proofErr w:type="spellEnd"/>
      <w:r w:rsidRPr="00D25BE7">
        <w:rPr>
          <w:rFonts w:asciiTheme="minorHAnsi" w:hAnsiTheme="minorHAnsi"/>
          <w:color w:val="000000" w:themeColor="text1"/>
          <w:lang w:val="en-GB"/>
        </w:rPr>
        <w:t xml:space="preserve"> departments, including debt management for the sharing and exchange of relevant information.</w:t>
      </w:r>
    </w:p>
    <w:p w14:paraId="314E4A13" w14:textId="033B33DB" w:rsidR="00B46EE5" w:rsidRPr="00D25BE7" w:rsidRDefault="000348E8" w:rsidP="00B46EE5">
      <w:pPr>
        <w:pStyle w:val="Heading1"/>
        <w:rPr>
          <w:rFonts w:asciiTheme="minorHAnsi" w:hAnsiTheme="minorHAnsi"/>
        </w:rPr>
      </w:pPr>
      <w:bookmarkStart w:id="19" w:name="_Toc455467807"/>
      <w:r w:rsidRPr="00D25BE7">
        <w:rPr>
          <w:rFonts w:asciiTheme="minorHAnsi" w:hAnsiTheme="minorHAnsi"/>
        </w:rPr>
        <w:t>INDIVIDUAL SOE PERFORMANCES</w:t>
      </w:r>
      <w:bookmarkEnd w:id="19"/>
    </w:p>
    <w:p w14:paraId="2D579ADF" w14:textId="0A499F9D" w:rsidR="006D6E87" w:rsidRPr="00D25BE7" w:rsidRDefault="0054272D" w:rsidP="006D6E87">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 xml:space="preserve">This section of the report identifies the major </w:t>
      </w:r>
      <w:r w:rsidR="00FF7963" w:rsidRPr="00D25BE7">
        <w:rPr>
          <w:rFonts w:asciiTheme="minorHAnsi" w:hAnsiTheme="minorHAnsi"/>
          <w:color w:val="000000" w:themeColor="text1"/>
          <w:lang w:val="en-GB"/>
        </w:rPr>
        <w:t xml:space="preserve">SOEs </w:t>
      </w:r>
      <w:r w:rsidRPr="00D25BE7">
        <w:rPr>
          <w:rFonts w:asciiTheme="minorHAnsi" w:hAnsiTheme="minorHAnsi"/>
          <w:color w:val="000000" w:themeColor="text1"/>
          <w:lang w:val="en-GB"/>
        </w:rPr>
        <w:t xml:space="preserve">that influence portfolio performance and provides </w:t>
      </w:r>
      <w:r w:rsidR="00B63A29" w:rsidRPr="00D25BE7">
        <w:rPr>
          <w:rFonts w:asciiTheme="minorHAnsi" w:hAnsiTheme="minorHAnsi"/>
          <w:color w:val="000000" w:themeColor="text1"/>
          <w:lang w:val="en-GB"/>
        </w:rPr>
        <w:t>some</w:t>
      </w:r>
      <w:r w:rsidRPr="00D25BE7">
        <w:rPr>
          <w:rFonts w:asciiTheme="minorHAnsi" w:hAnsiTheme="minorHAnsi"/>
          <w:color w:val="000000" w:themeColor="text1"/>
          <w:lang w:val="en-GB"/>
        </w:rPr>
        <w:t xml:space="preserve"> individual SOE profiling and performance analysis. Only a selection of SOEs </w:t>
      </w:r>
      <w:r w:rsidR="006F23D3">
        <w:rPr>
          <w:rFonts w:asciiTheme="minorHAnsi" w:hAnsiTheme="minorHAnsi"/>
          <w:color w:val="000000" w:themeColor="text1"/>
          <w:lang w:val="en-GB"/>
        </w:rPr>
        <w:t xml:space="preserve">and enterprises in which GoL has a minority interest </w:t>
      </w:r>
      <w:r w:rsidRPr="00D25BE7">
        <w:rPr>
          <w:rFonts w:asciiTheme="minorHAnsi" w:hAnsiTheme="minorHAnsi"/>
          <w:color w:val="000000" w:themeColor="text1"/>
          <w:lang w:val="en-GB"/>
        </w:rPr>
        <w:t xml:space="preserve">are included as determined by ownership structure, significance of contribution, or fiscal risk concerns. </w:t>
      </w:r>
    </w:p>
    <w:p w14:paraId="18BD90EE" w14:textId="77777777" w:rsidR="00B31B7E" w:rsidRPr="00D25BE7" w:rsidRDefault="00E273AA" w:rsidP="00B31B7E">
      <w:pPr>
        <w:pStyle w:val="ListParagraph"/>
        <w:ind w:left="426" w:hanging="426"/>
        <w:rPr>
          <w:rFonts w:asciiTheme="minorHAnsi" w:hAnsiTheme="minorHAnsi" w:cs="Arial"/>
          <w:color w:val="000000" w:themeColor="text1"/>
          <w:lang w:val="en-GB"/>
        </w:rPr>
      </w:pPr>
      <w:r w:rsidRPr="004140E8">
        <w:rPr>
          <w:rFonts w:asciiTheme="minorHAnsi" w:hAnsiTheme="minorHAnsi" w:cs="Arial"/>
          <w:b/>
          <w:sz w:val="24"/>
          <w:szCs w:val="24"/>
          <w:lang w:val="en-GB"/>
        </w:rPr>
        <w:t>Lesotho Electrical Company</w:t>
      </w:r>
      <w:r w:rsidR="00B31B7E" w:rsidRPr="00D25BE7">
        <w:rPr>
          <w:rFonts w:asciiTheme="minorHAnsi" w:hAnsiTheme="minorHAnsi" w:cs="Arial"/>
          <w:b/>
          <w:u w:val="single"/>
          <w:lang w:val="en-GB"/>
        </w:rPr>
        <w:t xml:space="preserve"> </w:t>
      </w:r>
      <w:r w:rsidR="005148E2" w:rsidRPr="00D25BE7">
        <w:rPr>
          <w:rFonts w:asciiTheme="minorHAnsi" w:hAnsiTheme="minorHAnsi" w:cs="Arial"/>
          <w:szCs w:val="22"/>
        </w:rPr>
        <w:t xml:space="preserve">LEC is 100 percent owned by government, reporting to the Ministry of Energy, Meteorology and Water affairs and regulated by the Lesotho Electricity and Water Authority.  LEC generates, transmits and distributes electrical power throughout the country.  Its main power sources are the 72MW </w:t>
      </w:r>
      <w:proofErr w:type="spellStart"/>
      <w:r w:rsidR="005148E2" w:rsidRPr="00D25BE7">
        <w:rPr>
          <w:rFonts w:asciiTheme="minorHAnsi" w:hAnsiTheme="minorHAnsi" w:cs="Arial"/>
          <w:szCs w:val="22"/>
        </w:rPr>
        <w:t>Muela</w:t>
      </w:r>
      <w:proofErr w:type="spellEnd"/>
      <w:r w:rsidR="005148E2" w:rsidRPr="00D25BE7">
        <w:rPr>
          <w:rFonts w:asciiTheme="minorHAnsi" w:hAnsiTheme="minorHAnsi" w:cs="Arial"/>
          <w:szCs w:val="22"/>
        </w:rPr>
        <w:t xml:space="preserve"> hydropower plant at the outflow from the </w:t>
      </w:r>
      <w:proofErr w:type="spellStart"/>
      <w:r w:rsidR="005148E2" w:rsidRPr="00D25BE7">
        <w:rPr>
          <w:rFonts w:asciiTheme="minorHAnsi" w:hAnsiTheme="minorHAnsi" w:cs="Arial"/>
          <w:szCs w:val="22"/>
        </w:rPr>
        <w:t>Katse</w:t>
      </w:r>
      <w:proofErr w:type="spellEnd"/>
      <w:r w:rsidR="005148E2" w:rsidRPr="00D25BE7">
        <w:rPr>
          <w:rFonts w:asciiTheme="minorHAnsi" w:hAnsiTheme="minorHAnsi" w:cs="Arial"/>
          <w:szCs w:val="22"/>
        </w:rPr>
        <w:t xml:space="preserve"> Tunnel in the north of the country which is operated by Lesotho Highlands Development Authority and provides the base load, and South Africa's power utility ESKOM which supplies most of the balance. LEC participates in the Southern Africa Power Pool.  LEC, through its rural electrification unit, is also responsible for rural electrification projects for which it receives capital grants from Government (and sometimes donors) to cover the costs.  The company has 519 employees.  </w:t>
      </w:r>
    </w:p>
    <w:p w14:paraId="253F5F31" w14:textId="087ACE50" w:rsidR="00B31B7E" w:rsidRPr="00D25BE7" w:rsidRDefault="00947120" w:rsidP="00B31B7E">
      <w:pPr>
        <w:pStyle w:val="ListParagraph"/>
        <w:ind w:left="426" w:hanging="426"/>
        <w:rPr>
          <w:rFonts w:asciiTheme="minorHAnsi" w:hAnsiTheme="minorHAnsi" w:cs="Arial"/>
          <w:color w:val="000000" w:themeColor="text1"/>
          <w:lang w:val="en-GB"/>
        </w:rPr>
      </w:pPr>
      <w:r w:rsidRPr="00D25BE7">
        <w:rPr>
          <w:rFonts w:asciiTheme="minorHAnsi" w:hAnsiTheme="minorHAnsi" w:cs="Arial"/>
          <w:szCs w:val="22"/>
        </w:rPr>
        <w:t xml:space="preserve">LEC's relatively strong financial position owes much to the restructuring of the industry that took place in the early 2000s in preparation for a privatization program that </w:t>
      </w:r>
      <w:r w:rsidR="00DE2819">
        <w:rPr>
          <w:rFonts w:asciiTheme="minorHAnsi" w:hAnsiTheme="minorHAnsi" w:cs="Arial"/>
          <w:szCs w:val="22"/>
        </w:rPr>
        <w:t xml:space="preserve">ultimately </w:t>
      </w:r>
      <w:r w:rsidRPr="00D25BE7">
        <w:rPr>
          <w:rFonts w:asciiTheme="minorHAnsi" w:hAnsiTheme="minorHAnsi" w:cs="Arial"/>
          <w:szCs w:val="22"/>
        </w:rPr>
        <w:t xml:space="preserve">did not happen. </w:t>
      </w:r>
    </w:p>
    <w:p w14:paraId="6716B542" w14:textId="0DC935D9" w:rsidR="000E2CEB" w:rsidRPr="00D25BE7" w:rsidRDefault="000E2CEB" w:rsidP="00B31B7E">
      <w:pPr>
        <w:pStyle w:val="ListParagraph"/>
        <w:ind w:left="426" w:hanging="426"/>
        <w:rPr>
          <w:rFonts w:asciiTheme="minorHAnsi" w:hAnsiTheme="minorHAnsi" w:cs="Arial"/>
          <w:color w:val="000000" w:themeColor="text1"/>
          <w:lang w:val="en-GB"/>
        </w:rPr>
      </w:pPr>
      <w:r>
        <w:rPr>
          <w:rFonts w:asciiTheme="minorHAnsi" w:hAnsiTheme="minorHAnsi" w:cs="Arial"/>
          <w:szCs w:val="22"/>
        </w:rPr>
        <w:t>During the financial year 2016/17 LEC achieved 15,608 new connections against a</w:t>
      </w:r>
      <w:r w:rsidR="00F05B71">
        <w:rPr>
          <w:rFonts w:asciiTheme="minorHAnsi" w:hAnsiTheme="minorHAnsi" w:cs="Arial"/>
          <w:szCs w:val="22"/>
        </w:rPr>
        <w:t>n annual</w:t>
      </w:r>
      <w:r>
        <w:rPr>
          <w:rFonts w:asciiTheme="minorHAnsi" w:hAnsiTheme="minorHAnsi" w:cs="Arial"/>
          <w:szCs w:val="22"/>
        </w:rPr>
        <w:t xml:space="preserve"> target of 15,000</w:t>
      </w:r>
      <w:r w:rsidR="00F05B71">
        <w:rPr>
          <w:rFonts w:asciiTheme="minorHAnsi" w:hAnsiTheme="minorHAnsi" w:cs="Arial"/>
          <w:szCs w:val="22"/>
        </w:rPr>
        <w:t xml:space="preserve">. </w:t>
      </w:r>
      <w:r w:rsidR="00234B8E">
        <w:rPr>
          <w:rFonts w:asciiTheme="minorHAnsi" w:hAnsiTheme="minorHAnsi" w:cs="Arial"/>
          <w:szCs w:val="22"/>
        </w:rPr>
        <w:t>By March 2017 this meant that LEC had achieved electrification to around 40% of the total household connectivity</w:t>
      </w:r>
      <w:r w:rsidR="004927E8">
        <w:rPr>
          <w:rFonts w:asciiTheme="minorHAnsi" w:hAnsiTheme="minorHAnsi" w:cs="Arial"/>
          <w:szCs w:val="22"/>
        </w:rPr>
        <w:t>, against the GoL’s long term goal to connect 50% of households</w:t>
      </w:r>
      <w:r w:rsidR="00FA331E">
        <w:rPr>
          <w:rFonts w:asciiTheme="minorHAnsi" w:hAnsiTheme="minorHAnsi" w:cs="Arial"/>
          <w:szCs w:val="22"/>
        </w:rPr>
        <w:t xml:space="preserve"> by 2020</w:t>
      </w:r>
      <w:r w:rsidR="004927E8">
        <w:rPr>
          <w:rFonts w:asciiTheme="minorHAnsi" w:hAnsiTheme="minorHAnsi" w:cs="Arial"/>
          <w:szCs w:val="22"/>
        </w:rPr>
        <w:t>.</w:t>
      </w:r>
      <w:r w:rsidR="004927E8" w:rsidRPr="004927E8">
        <w:rPr>
          <w:rFonts w:asciiTheme="minorHAnsi" w:hAnsiTheme="minorHAnsi" w:cs="Arial"/>
          <w:szCs w:val="22"/>
        </w:rPr>
        <w:t xml:space="preserve"> </w:t>
      </w:r>
      <w:r w:rsidR="00604A11">
        <w:rPr>
          <w:rFonts w:asciiTheme="minorHAnsi" w:hAnsiTheme="minorHAnsi" w:cs="Arial"/>
          <w:szCs w:val="22"/>
        </w:rPr>
        <w:t>Average annual dist</w:t>
      </w:r>
      <w:r w:rsidR="00FA331E">
        <w:rPr>
          <w:rFonts w:asciiTheme="minorHAnsi" w:hAnsiTheme="minorHAnsi" w:cs="Arial"/>
          <w:szCs w:val="22"/>
        </w:rPr>
        <w:t>ribution losses improved from 13.15% to 12.9</w:t>
      </w:r>
      <w:r w:rsidR="00604A11">
        <w:rPr>
          <w:rFonts w:asciiTheme="minorHAnsi" w:hAnsiTheme="minorHAnsi" w:cs="Arial"/>
          <w:szCs w:val="22"/>
        </w:rPr>
        <w:t xml:space="preserve">% by </w:t>
      </w:r>
      <w:r w:rsidR="00FA331E">
        <w:rPr>
          <w:rFonts w:asciiTheme="minorHAnsi" w:hAnsiTheme="minorHAnsi" w:cs="Arial"/>
          <w:szCs w:val="22"/>
        </w:rPr>
        <w:t xml:space="preserve">end </w:t>
      </w:r>
      <w:r w:rsidR="00FA331E">
        <w:rPr>
          <w:rFonts w:asciiTheme="minorHAnsi" w:hAnsiTheme="minorHAnsi" w:cs="Arial"/>
          <w:szCs w:val="22"/>
        </w:rPr>
        <w:lastRenderedPageBreak/>
        <w:t xml:space="preserve">of March 2017. </w:t>
      </w:r>
      <w:r w:rsidR="004927E8">
        <w:rPr>
          <w:rFonts w:asciiTheme="minorHAnsi" w:hAnsiTheme="minorHAnsi" w:cs="Arial"/>
          <w:szCs w:val="22"/>
        </w:rPr>
        <w:t xml:space="preserve">The 2017/18 </w:t>
      </w:r>
      <w:r w:rsidR="00F8351C">
        <w:rPr>
          <w:rFonts w:asciiTheme="minorHAnsi" w:hAnsiTheme="minorHAnsi" w:cs="Arial"/>
          <w:szCs w:val="22"/>
        </w:rPr>
        <w:t xml:space="preserve">LEC </w:t>
      </w:r>
      <w:r w:rsidR="004927E8">
        <w:rPr>
          <w:rFonts w:asciiTheme="minorHAnsi" w:hAnsiTheme="minorHAnsi" w:cs="Arial"/>
          <w:szCs w:val="22"/>
        </w:rPr>
        <w:t>annual report has not been made available so we cannot report on the achievements of 2017/18.</w:t>
      </w:r>
    </w:p>
    <w:p w14:paraId="077B1649" w14:textId="60259FFD" w:rsidR="00215245" w:rsidRPr="00FA7016" w:rsidRDefault="00215245" w:rsidP="00B31B7E">
      <w:pPr>
        <w:pStyle w:val="ListParagraph"/>
        <w:ind w:left="426" w:hanging="426"/>
        <w:rPr>
          <w:rFonts w:asciiTheme="minorHAnsi" w:hAnsiTheme="minorHAnsi" w:cs="Arial"/>
          <w:color w:val="000000" w:themeColor="text1"/>
          <w:lang w:val="en-GB"/>
        </w:rPr>
      </w:pPr>
      <w:r w:rsidRPr="00D25BE7">
        <w:rPr>
          <w:rFonts w:asciiTheme="minorHAnsi" w:hAnsiTheme="minorHAnsi" w:cs="Arial"/>
          <w:szCs w:val="22"/>
        </w:rPr>
        <w:t xml:space="preserve">The World Bank Report notes that “LEC's profitability is reportedly being achieved at the cost of inadequate upgrading of infrastructure and delays to investments in new technologies.  LEC obtained a capital grant from Government in 2009 to refurbish part of the network. LEC also received a M47m loan from the AfDB for distribution infrastructure and started repaying it in 2015.  LEC is liable to pay 47 percent of the loan. LEC has recently applied for a loan to rehabilitate its infrastructure.”  </w:t>
      </w:r>
    </w:p>
    <w:p w14:paraId="479A45A1" w14:textId="6A498F01" w:rsidR="00B4194C" w:rsidRPr="0023147B" w:rsidRDefault="00B4194C" w:rsidP="00973CB9">
      <w:pPr>
        <w:pStyle w:val="ListParagraph"/>
        <w:ind w:left="426" w:hanging="426"/>
        <w:rPr>
          <w:rFonts w:asciiTheme="minorHAnsi" w:hAnsiTheme="minorHAnsi" w:cs="Arial"/>
          <w:color w:val="000000" w:themeColor="text1"/>
          <w:lang w:val="en-GB"/>
        </w:rPr>
      </w:pPr>
      <w:r w:rsidRPr="00D25BE7">
        <w:rPr>
          <w:rFonts w:asciiTheme="minorHAnsi" w:eastAsia="CenturyGothic" w:hAnsiTheme="minorHAnsi" w:cs="Arial"/>
          <w:szCs w:val="22"/>
        </w:rPr>
        <w:t xml:space="preserve">LEC </w:t>
      </w:r>
      <w:r>
        <w:rPr>
          <w:rFonts w:asciiTheme="minorHAnsi" w:eastAsia="CenturyGothic" w:hAnsiTheme="minorHAnsi" w:cs="Arial"/>
          <w:szCs w:val="22"/>
        </w:rPr>
        <w:t xml:space="preserve">audited accounts were </w:t>
      </w:r>
      <w:r w:rsidRPr="00D25BE7">
        <w:rPr>
          <w:rFonts w:asciiTheme="minorHAnsi" w:eastAsia="CenturyGothic" w:hAnsiTheme="minorHAnsi" w:cs="Arial"/>
          <w:szCs w:val="22"/>
        </w:rPr>
        <w:t>issued a</w:t>
      </w:r>
      <w:r>
        <w:rPr>
          <w:rFonts w:asciiTheme="minorHAnsi" w:eastAsia="CenturyGothic" w:hAnsiTheme="minorHAnsi" w:cs="Arial"/>
          <w:szCs w:val="22"/>
        </w:rPr>
        <w:t>n</w:t>
      </w:r>
      <w:r w:rsidRPr="00D25BE7">
        <w:rPr>
          <w:rFonts w:asciiTheme="minorHAnsi" w:eastAsia="CenturyGothic" w:hAnsiTheme="minorHAnsi" w:cs="Arial"/>
          <w:szCs w:val="22"/>
        </w:rPr>
        <w:t xml:space="preserve"> </w:t>
      </w:r>
      <w:r>
        <w:rPr>
          <w:rFonts w:asciiTheme="minorHAnsi" w:eastAsia="CenturyGothic" w:hAnsiTheme="minorHAnsi" w:cs="Arial"/>
          <w:szCs w:val="22"/>
        </w:rPr>
        <w:t>Adverse O</w:t>
      </w:r>
      <w:r w:rsidRPr="00D25BE7">
        <w:rPr>
          <w:rFonts w:asciiTheme="minorHAnsi" w:eastAsia="CenturyGothic" w:hAnsiTheme="minorHAnsi" w:cs="Arial"/>
          <w:szCs w:val="22"/>
        </w:rPr>
        <w:t>pinion for the year ended 31 March 201</w:t>
      </w:r>
      <w:r>
        <w:rPr>
          <w:rFonts w:asciiTheme="minorHAnsi" w:eastAsia="CenturyGothic" w:hAnsiTheme="minorHAnsi" w:cs="Arial"/>
          <w:szCs w:val="22"/>
        </w:rPr>
        <w:t>8</w:t>
      </w:r>
      <w:r w:rsidRPr="00D25BE7">
        <w:rPr>
          <w:rFonts w:asciiTheme="minorHAnsi" w:eastAsia="CenturyGothic" w:hAnsiTheme="minorHAnsi" w:cs="Arial"/>
          <w:szCs w:val="22"/>
        </w:rPr>
        <w:t xml:space="preserve">, with the auditor highlighting some concerns for directors’ attention relating to </w:t>
      </w:r>
      <w:r>
        <w:rPr>
          <w:rFonts w:asciiTheme="minorHAnsi" w:eastAsia="CenturyGothic" w:hAnsiTheme="minorHAnsi" w:cs="Arial"/>
          <w:szCs w:val="22"/>
        </w:rPr>
        <w:t xml:space="preserve">VAT issues; trade debtors; interest charged on overdue accounts; the </w:t>
      </w:r>
      <w:proofErr w:type="spellStart"/>
      <w:r>
        <w:rPr>
          <w:rFonts w:asciiTheme="minorHAnsi" w:eastAsia="CenturyGothic" w:hAnsiTheme="minorHAnsi" w:cs="Arial"/>
          <w:szCs w:val="22"/>
        </w:rPr>
        <w:t>capitalisation</w:t>
      </w:r>
      <w:proofErr w:type="spellEnd"/>
      <w:r>
        <w:rPr>
          <w:rFonts w:asciiTheme="minorHAnsi" w:eastAsia="CenturyGothic" w:hAnsiTheme="minorHAnsi" w:cs="Arial"/>
          <w:szCs w:val="22"/>
        </w:rPr>
        <w:t xml:space="preserve"> of M88 million from the Lesotho Electricity Supply Project assets; and an unresolved variance in corporation tax liability.</w:t>
      </w:r>
      <w:r w:rsidRPr="00D25BE7">
        <w:rPr>
          <w:rFonts w:asciiTheme="minorHAnsi" w:eastAsia="CenturyGothic" w:hAnsiTheme="minorHAnsi" w:cs="Arial"/>
          <w:szCs w:val="22"/>
        </w:rPr>
        <w:t xml:space="preserve"> </w:t>
      </w:r>
    </w:p>
    <w:p w14:paraId="174F9445" w14:textId="4B8D3089" w:rsidR="001A4146" w:rsidRPr="00D25BE7" w:rsidRDefault="001A4146" w:rsidP="001A4146">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Relevant performance data for FY’1</w:t>
      </w:r>
      <w:r w:rsidR="00D90E0A">
        <w:rPr>
          <w:rFonts w:asciiTheme="minorHAnsi" w:hAnsiTheme="minorHAnsi"/>
          <w:color w:val="000000" w:themeColor="text1"/>
          <w:lang w:val="en-GB"/>
        </w:rPr>
        <w:t>8</w:t>
      </w:r>
      <w:r w:rsidRPr="00D25BE7">
        <w:rPr>
          <w:rFonts w:asciiTheme="minorHAnsi" w:hAnsiTheme="minorHAnsi"/>
          <w:color w:val="000000" w:themeColor="text1"/>
          <w:lang w:val="en-GB"/>
        </w:rPr>
        <w:t xml:space="preserve"> is:</w:t>
      </w:r>
    </w:p>
    <w:p w14:paraId="62F7D25D" w14:textId="620E19D2" w:rsidR="001A4146" w:rsidRPr="0023147B" w:rsidRDefault="001A4146" w:rsidP="001A4146">
      <w:pPr>
        <w:ind w:firstLine="426"/>
        <w:rPr>
          <w:rFonts w:asciiTheme="minorHAnsi" w:hAnsiTheme="minorHAnsi"/>
          <w:b/>
          <w:sz w:val="20"/>
          <w:lang w:val="en-GB"/>
        </w:rPr>
      </w:pPr>
      <w:r w:rsidRPr="00243C32">
        <w:rPr>
          <w:rFonts w:asciiTheme="minorHAnsi" w:hAnsiTheme="minorHAnsi"/>
          <w:b/>
          <w:sz w:val="20"/>
          <w:lang w:val="en-GB"/>
        </w:rPr>
        <w:t xml:space="preserve">Table </w:t>
      </w:r>
      <w:r w:rsidR="00B83B99" w:rsidRPr="00243C32">
        <w:rPr>
          <w:rFonts w:asciiTheme="minorHAnsi" w:hAnsiTheme="minorHAnsi"/>
          <w:b/>
          <w:sz w:val="20"/>
          <w:lang w:val="en-GB"/>
        </w:rPr>
        <w:t>11</w:t>
      </w:r>
      <w:r w:rsidRPr="00243C32">
        <w:rPr>
          <w:rFonts w:asciiTheme="minorHAnsi" w:hAnsiTheme="minorHAnsi"/>
          <w:b/>
          <w:sz w:val="20"/>
          <w:lang w:val="en-GB"/>
        </w:rPr>
        <w:t>: Performance Highlights – LEC</w:t>
      </w:r>
    </w:p>
    <w:p w14:paraId="7C81E241" w14:textId="77777777" w:rsidR="00F4794A" w:rsidRPr="00D25BE7" w:rsidRDefault="00F4794A" w:rsidP="001A4146">
      <w:pPr>
        <w:ind w:firstLine="426"/>
        <w:rPr>
          <w:rFonts w:asciiTheme="minorHAnsi" w:hAnsiTheme="minorHAnsi"/>
          <w:sz w:val="18"/>
          <w:szCs w:val="18"/>
          <w:lang w:val="en-GB"/>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5"/>
        <w:gridCol w:w="1276"/>
        <w:gridCol w:w="1276"/>
        <w:gridCol w:w="1276"/>
        <w:gridCol w:w="1276"/>
      </w:tblGrid>
      <w:tr w:rsidR="0057724B" w:rsidRPr="0057724B" w14:paraId="45306BB2" w14:textId="77777777" w:rsidTr="0057724B">
        <w:trPr>
          <w:trHeight w:val="360"/>
        </w:trPr>
        <w:tc>
          <w:tcPr>
            <w:tcW w:w="2126" w:type="dxa"/>
            <w:shd w:val="clear" w:color="auto" w:fill="D9D9D9" w:themeFill="background1" w:themeFillShade="D9"/>
            <w:noWrap/>
            <w:vAlign w:val="center"/>
            <w:hideMark/>
          </w:tcPr>
          <w:p w14:paraId="584E1592" w14:textId="77777777" w:rsidR="00323A89" w:rsidRPr="0023147B" w:rsidRDefault="00323A89" w:rsidP="00C63C26">
            <w:pPr>
              <w:ind w:firstLine="42"/>
              <w:rPr>
                <w:rFonts w:asciiTheme="minorHAnsi" w:hAnsiTheme="minorHAnsi"/>
                <w:sz w:val="18"/>
                <w:szCs w:val="18"/>
                <w:lang w:eastAsia="en-GB"/>
              </w:rPr>
            </w:pPr>
            <w:r w:rsidRPr="0023147B">
              <w:rPr>
                <w:rFonts w:asciiTheme="minorHAnsi" w:hAnsiTheme="minorHAnsi"/>
                <w:sz w:val="18"/>
                <w:szCs w:val="18"/>
                <w:lang w:eastAsia="en-GB"/>
              </w:rPr>
              <w:t>Performance Highlights (M '000)</w:t>
            </w:r>
          </w:p>
        </w:tc>
        <w:tc>
          <w:tcPr>
            <w:tcW w:w="1275" w:type="dxa"/>
            <w:shd w:val="clear" w:color="auto" w:fill="D9D9D9" w:themeFill="background1" w:themeFillShade="D9"/>
            <w:vAlign w:val="center"/>
          </w:tcPr>
          <w:p w14:paraId="469E6F6F" w14:textId="06C02E97" w:rsidR="00323A89" w:rsidRPr="0023147B" w:rsidRDefault="00323A89" w:rsidP="00C63C26">
            <w:pPr>
              <w:jc w:val="center"/>
              <w:rPr>
                <w:rFonts w:asciiTheme="minorHAnsi" w:hAnsiTheme="minorHAnsi" w:cstheme="minorHAnsi"/>
                <w:b/>
                <w:bCs/>
                <w:color w:val="000000"/>
                <w:sz w:val="18"/>
                <w:szCs w:val="18"/>
                <w:lang w:eastAsia="en-GB"/>
              </w:rPr>
            </w:pPr>
            <w:r w:rsidRPr="0023147B">
              <w:rPr>
                <w:rFonts w:asciiTheme="minorHAnsi" w:hAnsiTheme="minorHAnsi" w:cstheme="minorHAnsi"/>
                <w:b/>
                <w:bCs/>
                <w:sz w:val="18"/>
                <w:szCs w:val="18"/>
                <w:lang w:eastAsia="en-GB"/>
              </w:rPr>
              <w:t>2014/15</w:t>
            </w:r>
          </w:p>
        </w:tc>
        <w:tc>
          <w:tcPr>
            <w:tcW w:w="1276" w:type="dxa"/>
            <w:shd w:val="clear" w:color="auto" w:fill="D9D9D9" w:themeFill="background1" w:themeFillShade="D9"/>
            <w:vAlign w:val="center"/>
          </w:tcPr>
          <w:p w14:paraId="4725D6A8" w14:textId="3753BF3B" w:rsidR="00323A89" w:rsidRPr="0023147B" w:rsidRDefault="00323A89" w:rsidP="00C63C26">
            <w:pPr>
              <w:jc w:val="center"/>
              <w:rPr>
                <w:rFonts w:asciiTheme="minorHAnsi" w:hAnsiTheme="minorHAnsi" w:cstheme="minorHAnsi"/>
                <w:b/>
                <w:bCs/>
                <w:color w:val="000000"/>
                <w:sz w:val="18"/>
                <w:szCs w:val="18"/>
                <w:lang w:eastAsia="en-GB"/>
              </w:rPr>
            </w:pPr>
            <w:r w:rsidRPr="0023147B">
              <w:rPr>
                <w:rFonts w:asciiTheme="minorHAnsi" w:hAnsiTheme="minorHAnsi" w:cstheme="minorHAnsi"/>
                <w:b/>
                <w:bCs/>
                <w:sz w:val="18"/>
                <w:szCs w:val="18"/>
                <w:lang w:eastAsia="en-GB"/>
              </w:rPr>
              <w:t>2015/16</w:t>
            </w:r>
          </w:p>
        </w:tc>
        <w:tc>
          <w:tcPr>
            <w:tcW w:w="1276" w:type="dxa"/>
            <w:shd w:val="clear" w:color="auto" w:fill="D9D9D9" w:themeFill="background1" w:themeFillShade="D9"/>
            <w:vAlign w:val="center"/>
            <w:hideMark/>
          </w:tcPr>
          <w:p w14:paraId="11A8C300" w14:textId="74396A2A" w:rsidR="00323A89" w:rsidRPr="0023147B" w:rsidRDefault="00323A89" w:rsidP="00C63C26">
            <w:pPr>
              <w:jc w:val="center"/>
              <w:rPr>
                <w:rFonts w:asciiTheme="minorHAnsi" w:hAnsiTheme="minorHAnsi" w:cstheme="minorHAnsi"/>
                <w:b/>
                <w:bCs/>
                <w:sz w:val="18"/>
                <w:szCs w:val="18"/>
                <w:lang w:eastAsia="en-GB"/>
              </w:rPr>
            </w:pPr>
            <w:r w:rsidRPr="0023147B">
              <w:rPr>
                <w:rFonts w:asciiTheme="minorHAnsi" w:hAnsiTheme="minorHAnsi" w:cstheme="minorHAnsi"/>
                <w:b/>
                <w:bCs/>
                <w:sz w:val="18"/>
                <w:szCs w:val="18"/>
                <w:lang w:eastAsia="en-GB"/>
              </w:rPr>
              <w:t>2016/17</w:t>
            </w:r>
          </w:p>
        </w:tc>
        <w:tc>
          <w:tcPr>
            <w:tcW w:w="1276" w:type="dxa"/>
            <w:shd w:val="clear" w:color="auto" w:fill="D9D9D9" w:themeFill="background1" w:themeFillShade="D9"/>
            <w:vAlign w:val="center"/>
          </w:tcPr>
          <w:p w14:paraId="14693ED2" w14:textId="46BCC400" w:rsidR="00323A89" w:rsidRPr="0023147B" w:rsidRDefault="00323A89" w:rsidP="00C63C26">
            <w:pPr>
              <w:jc w:val="center"/>
              <w:rPr>
                <w:rFonts w:asciiTheme="minorHAnsi" w:hAnsiTheme="minorHAnsi" w:cstheme="minorHAnsi"/>
                <w:b/>
                <w:bCs/>
                <w:color w:val="000000"/>
                <w:sz w:val="18"/>
                <w:szCs w:val="18"/>
                <w:lang w:eastAsia="en-GB"/>
              </w:rPr>
            </w:pPr>
            <w:r w:rsidRPr="0023147B">
              <w:rPr>
                <w:rFonts w:asciiTheme="minorHAnsi" w:hAnsiTheme="minorHAnsi" w:cstheme="minorHAnsi"/>
                <w:b/>
                <w:bCs/>
                <w:sz w:val="18"/>
                <w:szCs w:val="18"/>
                <w:lang w:eastAsia="en-GB"/>
              </w:rPr>
              <w:t>2017/18</w:t>
            </w:r>
          </w:p>
        </w:tc>
        <w:tc>
          <w:tcPr>
            <w:tcW w:w="1276" w:type="dxa"/>
            <w:shd w:val="clear" w:color="auto" w:fill="D9D9D9" w:themeFill="background1" w:themeFillShade="D9"/>
            <w:noWrap/>
            <w:vAlign w:val="center"/>
            <w:hideMark/>
          </w:tcPr>
          <w:p w14:paraId="124D93EB" w14:textId="028BDA61" w:rsidR="00323A89" w:rsidRPr="0023147B" w:rsidRDefault="00323A89" w:rsidP="00C63C26">
            <w:pPr>
              <w:jc w:val="center"/>
              <w:rPr>
                <w:rFonts w:asciiTheme="minorHAnsi" w:hAnsiTheme="minorHAnsi" w:cstheme="minorHAnsi"/>
                <w:b/>
                <w:bCs/>
                <w:color w:val="000000"/>
                <w:sz w:val="18"/>
                <w:szCs w:val="18"/>
                <w:lang w:eastAsia="en-GB"/>
              </w:rPr>
            </w:pPr>
            <w:r w:rsidRPr="0023147B">
              <w:rPr>
                <w:rFonts w:asciiTheme="minorHAnsi" w:hAnsiTheme="minorHAnsi" w:cstheme="minorHAnsi"/>
                <w:b/>
                <w:bCs/>
                <w:color w:val="000000"/>
                <w:sz w:val="18"/>
                <w:szCs w:val="18"/>
                <w:lang w:eastAsia="en-GB"/>
              </w:rPr>
              <w:t>4-yr Average</w:t>
            </w:r>
          </w:p>
        </w:tc>
      </w:tr>
      <w:tr w:rsidR="00323A89" w:rsidRPr="0057724B" w14:paraId="0757EC35" w14:textId="77777777" w:rsidTr="0023147B">
        <w:trPr>
          <w:trHeight w:val="360"/>
        </w:trPr>
        <w:tc>
          <w:tcPr>
            <w:tcW w:w="2126" w:type="dxa"/>
            <w:shd w:val="clear" w:color="000000" w:fill="FFFFFF"/>
            <w:noWrap/>
            <w:vAlign w:val="center"/>
            <w:hideMark/>
          </w:tcPr>
          <w:p w14:paraId="6DA076E2" w14:textId="77777777" w:rsidR="00323A89" w:rsidRPr="0023147B" w:rsidRDefault="00323A89" w:rsidP="00C63C26">
            <w:pPr>
              <w:rPr>
                <w:rFonts w:asciiTheme="minorHAnsi" w:hAnsiTheme="minorHAnsi" w:cstheme="minorHAnsi"/>
                <w:sz w:val="18"/>
                <w:szCs w:val="18"/>
                <w:lang w:eastAsia="en-GB"/>
              </w:rPr>
            </w:pPr>
            <w:r w:rsidRPr="0023147B">
              <w:rPr>
                <w:rFonts w:asciiTheme="minorHAnsi" w:hAnsiTheme="minorHAnsi" w:cstheme="minorHAnsi"/>
                <w:sz w:val="18"/>
                <w:szCs w:val="18"/>
                <w:lang w:eastAsia="en-GB"/>
              </w:rPr>
              <w:t>Total Revenue</w:t>
            </w:r>
          </w:p>
        </w:tc>
        <w:tc>
          <w:tcPr>
            <w:tcW w:w="1275" w:type="dxa"/>
            <w:vAlign w:val="center"/>
          </w:tcPr>
          <w:p w14:paraId="3FFDB988" w14:textId="2902ACEA"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703,669</w:t>
            </w:r>
          </w:p>
        </w:tc>
        <w:tc>
          <w:tcPr>
            <w:tcW w:w="1276" w:type="dxa"/>
            <w:vAlign w:val="center"/>
          </w:tcPr>
          <w:p w14:paraId="03C372F2" w14:textId="17CF5097"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741,779</w:t>
            </w:r>
          </w:p>
        </w:tc>
        <w:tc>
          <w:tcPr>
            <w:tcW w:w="1276" w:type="dxa"/>
            <w:shd w:val="clear" w:color="auto" w:fill="auto"/>
            <w:noWrap/>
            <w:vAlign w:val="center"/>
            <w:hideMark/>
          </w:tcPr>
          <w:p w14:paraId="7C1D6DE6" w14:textId="4A457036" w:rsidR="00323A89" w:rsidRPr="0023147B" w:rsidRDefault="00517A63"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914</w:t>
            </w:r>
            <w:r w:rsidR="000527CC" w:rsidRPr="0023147B">
              <w:rPr>
                <w:rFonts w:asciiTheme="minorHAnsi" w:hAnsiTheme="minorHAnsi" w:cstheme="minorHAnsi"/>
                <w:color w:val="000000" w:themeColor="text1"/>
                <w:sz w:val="18"/>
                <w:szCs w:val="18"/>
                <w:lang w:eastAsia="en-GB"/>
              </w:rPr>
              <w:t>,994</w:t>
            </w:r>
          </w:p>
        </w:tc>
        <w:tc>
          <w:tcPr>
            <w:tcW w:w="1276" w:type="dxa"/>
            <w:vAlign w:val="center"/>
          </w:tcPr>
          <w:p w14:paraId="03F9BE23" w14:textId="5F847BF0" w:rsidR="00323A89" w:rsidRPr="0023147B" w:rsidRDefault="004877A0" w:rsidP="004877A0">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982</w:t>
            </w:r>
            <w:r w:rsidR="008059FE" w:rsidRPr="0023147B">
              <w:rPr>
                <w:rFonts w:asciiTheme="minorHAnsi" w:hAnsiTheme="minorHAnsi" w:cstheme="minorHAnsi"/>
                <w:color w:val="000000" w:themeColor="text1"/>
                <w:sz w:val="18"/>
                <w:szCs w:val="18"/>
                <w:lang w:eastAsia="en-GB"/>
              </w:rPr>
              <w:t>,</w:t>
            </w:r>
            <w:r w:rsidRPr="0023147B">
              <w:rPr>
                <w:rFonts w:asciiTheme="minorHAnsi" w:hAnsiTheme="minorHAnsi" w:cstheme="minorHAnsi"/>
                <w:color w:val="000000" w:themeColor="text1"/>
                <w:sz w:val="18"/>
                <w:szCs w:val="18"/>
                <w:lang w:eastAsia="en-GB"/>
              </w:rPr>
              <w:t>580</w:t>
            </w:r>
          </w:p>
        </w:tc>
        <w:tc>
          <w:tcPr>
            <w:tcW w:w="1276" w:type="dxa"/>
            <w:shd w:val="clear" w:color="auto" w:fill="auto"/>
            <w:noWrap/>
            <w:vAlign w:val="center"/>
            <w:hideMark/>
          </w:tcPr>
          <w:p w14:paraId="100E1568" w14:textId="64EEB191" w:rsidR="00323A89" w:rsidRPr="0023147B" w:rsidRDefault="00D35758">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83</w:t>
            </w:r>
            <w:r w:rsidR="007C67AD" w:rsidRPr="0023147B">
              <w:rPr>
                <w:rFonts w:asciiTheme="minorHAnsi" w:hAnsiTheme="minorHAnsi" w:cstheme="minorHAnsi"/>
                <w:color w:val="000000" w:themeColor="text1"/>
                <w:sz w:val="18"/>
                <w:szCs w:val="18"/>
                <w:lang w:eastAsia="en-GB"/>
              </w:rPr>
              <w:t>,</w:t>
            </w:r>
            <w:r w:rsidRPr="0023147B">
              <w:rPr>
                <w:rFonts w:asciiTheme="minorHAnsi" w:hAnsiTheme="minorHAnsi" w:cstheme="minorHAnsi"/>
                <w:color w:val="000000" w:themeColor="text1"/>
                <w:sz w:val="18"/>
                <w:szCs w:val="18"/>
                <w:lang w:eastAsia="en-GB"/>
              </w:rPr>
              <w:t>756</w:t>
            </w:r>
            <w:r w:rsidR="00323A89" w:rsidRPr="0023147B">
              <w:rPr>
                <w:rFonts w:asciiTheme="minorHAnsi" w:hAnsiTheme="minorHAnsi" w:cstheme="minorHAnsi"/>
                <w:color w:val="000000" w:themeColor="text1"/>
                <w:sz w:val="18"/>
                <w:szCs w:val="18"/>
                <w:lang w:eastAsia="en-GB"/>
              </w:rPr>
              <w:t xml:space="preserve"> </w:t>
            </w:r>
          </w:p>
        </w:tc>
      </w:tr>
      <w:tr w:rsidR="00323A89" w:rsidRPr="0057724B" w14:paraId="1E240CB6" w14:textId="77777777" w:rsidTr="0023147B">
        <w:trPr>
          <w:trHeight w:val="360"/>
        </w:trPr>
        <w:tc>
          <w:tcPr>
            <w:tcW w:w="2126" w:type="dxa"/>
            <w:shd w:val="clear" w:color="000000" w:fill="FFFFFF"/>
            <w:noWrap/>
            <w:vAlign w:val="center"/>
            <w:hideMark/>
          </w:tcPr>
          <w:p w14:paraId="530D7449" w14:textId="77777777" w:rsidR="00323A89" w:rsidRPr="0023147B" w:rsidRDefault="00323A89" w:rsidP="00C63C26">
            <w:pPr>
              <w:rPr>
                <w:rFonts w:asciiTheme="minorHAnsi" w:hAnsiTheme="minorHAnsi" w:cstheme="minorHAnsi"/>
                <w:sz w:val="18"/>
                <w:szCs w:val="18"/>
                <w:lang w:eastAsia="en-GB"/>
              </w:rPr>
            </w:pPr>
            <w:r w:rsidRPr="0023147B">
              <w:rPr>
                <w:rFonts w:asciiTheme="minorHAnsi" w:hAnsiTheme="minorHAnsi" w:cstheme="minorHAnsi"/>
                <w:sz w:val="18"/>
                <w:szCs w:val="18"/>
                <w:lang w:eastAsia="en-GB"/>
              </w:rPr>
              <w:t>Net Operating Profit After Tax</w:t>
            </w:r>
          </w:p>
        </w:tc>
        <w:tc>
          <w:tcPr>
            <w:tcW w:w="1275" w:type="dxa"/>
            <w:vAlign w:val="center"/>
          </w:tcPr>
          <w:p w14:paraId="4632F5DA" w14:textId="359B9551" w:rsidR="00323A89" w:rsidRPr="0023147B" w:rsidRDefault="00323A89" w:rsidP="00C63C26">
            <w:pPr>
              <w:jc w:val="right"/>
              <w:rPr>
                <w:rFonts w:asciiTheme="minorHAnsi" w:hAnsiTheme="minorHAnsi" w:cstheme="minorHAnsi"/>
                <w:color w:val="FF0000"/>
                <w:sz w:val="18"/>
                <w:szCs w:val="18"/>
                <w:lang w:eastAsia="en-GB"/>
              </w:rPr>
            </w:pPr>
            <w:r w:rsidRPr="0023147B">
              <w:rPr>
                <w:rFonts w:asciiTheme="minorHAnsi" w:hAnsiTheme="minorHAnsi" w:cstheme="minorHAnsi"/>
                <w:color w:val="000000" w:themeColor="text1"/>
                <w:sz w:val="18"/>
                <w:szCs w:val="18"/>
                <w:lang w:eastAsia="en-GB"/>
              </w:rPr>
              <w:t>75,558</w:t>
            </w:r>
          </w:p>
        </w:tc>
        <w:tc>
          <w:tcPr>
            <w:tcW w:w="1276" w:type="dxa"/>
            <w:vAlign w:val="center"/>
          </w:tcPr>
          <w:p w14:paraId="2C0E842A" w14:textId="4C6F22FE" w:rsidR="00323A89" w:rsidRPr="0023147B" w:rsidRDefault="00323A89" w:rsidP="00C63C26">
            <w:pPr>
              <w:jc w:val="right"/>
              <w:rPr>
                <w:rFonts w:asciiTheme="minorHAnsi" w:hAnsiTheme="minorHAnsi" w:cstheme="minorHAnsi"/>
                <w:color w:val="FF0000"/>
                <w:sz w:val="18"/>
                <w:szCs w:val="18"/>
                <w:lang w:eastAsia="en-GB"/>
              </w:rPr>
            </w:pPr>
            <w:r w:rsidRPr="0023147B">
              <w:rPr>
                <w:rFonts w:asciiTheme="minorHAnsi" w:hAnsiTheme="minorHAnsi" w:cstheme="minorHAnsi"/>
                <w:color w:val="000000" w:themeColor="text1"/>
                <w:sz w:val="18"/>
                <w:szCs w:val="18"/>
                <w:lang w:eastAsia="en-GB"/>
              </w:rPr>
              <w:t>56,386</w:t>
            </w:r>
          </w:p>
        </w:tc>
        <w:tc>
          <w:tcPr>
            <w:tcW w:w="1276" w:type="dxa"/>
            <w:shd w:val="clear" w:color="auto" w:fill="auto"/>
            <w:noWrap/>
            <w:vAlign w:val="center"/>
            <w:hideMark/>
          </w:tcPr>
          <w:p w14:paraId="43F0FC2D" w14:textId="341EF260" w:rsidR="00323A89" w:rsidRPr="0023147B" w:rsidRDefault="000527CC"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94,070</w:t>
            </w:r>
          </w:p>
        </w:tc>
        <w:tc>
          <w:tcPr>
            <w:tcW w:w="1276" w:type="dxa"/>
            <w:vAlign w:val="center"/>
          </w:tcPr>
          <w:p w14:paraId="5E0C3405" w14:textId="78938B1D" w:rsidR="00323A89" w:rsidRPr="0023147B" w:rsidRDefault="008059FE" w:rsidP="004877A0">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95,123</w:t>
            </w:r>
          </w:p>
        </w:tc>
        <w:tc>
          <w:tcPr>
            <w:tcW w:w="1276" w:type="dxa"/>
            <w:shd w:val="clear" w:color="auto" w:fill="auto"/>
            <w:noWrap/>
            <w:vAlign w:val="center"/>
            <w:hideMark/>
          </w:tcPr>
          <w:p w14:paraId="0F0717AD" w14:textId="22451987" w:rsidR="00323A89" w:rsidRPr="0023147B" w:rsidRDefault="00D35758">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80</w:t>
            </w:r>
            <w:r w:rsidR="007C67AD" w:rsidRPr="0023147B">
              <w:rPr>
                <w:rFonts w:asciiTheme="minorHAnsi" w:hAnsiTheme="minorHAnsi" w:cstheme="minorHAnsi"/>
                <w:color w:val="000000" w:themeColor="text1"/>
                <w:sz w:val="18"/>
                <w:szCs w:val="18"/>
                <w:lang w:eastAsia="en-GB"/>
              </w:rPr>
              <w:t>,</w:t>
            </w:r>
            <w:r w:rsidRPr="0023147B">
              <w:rPr>
                <w:rFonts w:asciiTheme="minorHAnsi" w:hAnsiTheme="minorHAnsi" w:cstheme="minorHAnsi"/>
                <w:color w:val="000000" w:themeColor="text1"/>
                <w:sz w:val="18"/>
                <w:szCs w:val="18"/>
                <w:lang w:eastAsia="en-GB"/>
              </w:rPr>
              <w:t>284</w:t>
            </w:r>
            <w:r w:rsidR="00323A89" w:rsidRPr="0023147B">
              <w:rPr>
                <w:rFonts w:asciiTheme="minorHAnsi" w:hAnsiTheme="minorHAnsi" w:cstheme="minorHAnsi"/>
                <w:color w:val="000000" w:themeColor="text1"/>
                <w:sz w:val="18"/>
                <w:szCs w:val="18"/>
                <w:lang w:eastAsia="en-GB"/>
              </w:rPr>
              <w:t xml:space="preserve"> </w:t>
            </w:r>
          </w:p>
        </w:tc>
      </w:tr>
      <w:tr w:rsidR="00323A89" w:rsidRPr="0057724B" w14:paraId="1A772730" w14:textId="77777777" w:rsidTr="0023147B">
        <w:trPr>
          <w:trHeight w:val="360"/>
        </w:trPr>
        <w:tc>
          <w:tcPr>
            <w:tcW w:w="2126" w:type="dxa"/>
            <w:shd w:val="clear" w:color="000000" w:fill="FFFFFF"/>
            <w:noWrap/>
            <w:vAlign w:val="center"/>
            <w:hideMark/>
          </w:tcPr>
          <w:p w14:paraId="680852D2" w14:textId="1BD07440" w:rsidR="00323A89" w:rsidRPr="0023147B" w:rsidRDefault="00323A89" w:rsidP="00C63C26">
            <w:pPr>
              <w:rPr>
                <w:rFonts w:asciiTheme="minorHAnsi" w:hAnsiTheme="minorHAnsi" w:cstheme="minorHAnsi"/>
                <w:sz w:val="18"/>
                <w:szCs w:val="18"/>
                <w:lang w:eastAsia="en-GB"/>
              </w:rPr>
            </w:pPr>
            <w:r w:rsidRPr="0023147B">
              <w:rPr>
                <w:rFonts w:asciiTheme="minorHAnsi" w:hAnsiTheme="minorHAnsi" w:cstheme="minorHAnsi"/>
                <w:sz w:val="18"/>
                <w:szCs w:val="18"/>
                <w:lang w:eastAsia="en-GB"/>
              </w:rPr>
              <w:t>Capital Grants Receipts</w:t>
            </w:r>
          </w:p>
        </w:tc>
        <w:tc>
          <w:tcPr>
            <w:tcW w:w="1275" w:type="dxa"/>
            <w:vAlign w:val="center"/>
          </w:tcPr>
          <w:p w14:paraId="225E1EAE" w14:textId="67EC54F3"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 xml:space="preserve">96,760 </w:t>
            </w:r>
          </w:p>
        </w:tc>
        <w:tc>
          <w:tcPr>
            <w:tcW w:w="1276" w:type="dxa"/>
            <w:vAlign w:val="center"/>
          </w:tcPr>
          <w:p w14:paraId="0FCBAB44" w14:textId="09280BC6"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 xml:space="preserve">108,541 </w:t>
            </w:r>
          </w:p>
        </w:tc>
        <w:tc>
          <w:tcPr>
            <w:tcW w:w="1276" w:type="dxa"/>
            <w:shd w:val="clear" w:color="auto" w:fill="auto"/>
            <w:noWrap/>
            <w:vAlign w:val="center"/>
            <w:hideMark/>
          </w:tcPr>
          <w:p w14:paraId="13761012" w14:textId="1C86822A"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 xml:space="preserve">242,638 </w:t>
            </w:r>
          </w:p>
        </w:tc>
        <w:tc>
          <w:tcPr>
            <w:tcW w:w="1276" w:type="dxa"/>
            <w:vAlign w:val="center"/>
          </w:tcPr>
          <w:p w14:paraId="1E76F1A6" w14:textId="0FCD2304" w:rsidR="00323A89" w:rsidRPr="0023147B" w:rsidRDefault="002C3686" w:rsidP="004877A0">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168,527</w:t>
            </w:r>
          </w:p>
        </w:tc>
        <w:tc>
          <w:tcPr>
            <w:tcW w:w="1276" w:type="dxa"/>
            <w:shd w:val="clear" w:color="auto" w:fill="auto"/>
            <w:noWrap/>
            <w:vAlign w:val="center"/>
            <w:hideMark/>
          </w:tcPr>
          <w:p w14:paraId="33533724" w14:textId="4FF122EA" w:rsidR="00323A89" w:rsidRPr="0023147B" w:rsidRDefault="007C67AD"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154,117</w:t>
            </w:r>
            <w:r w:rsidR="00323A89" w:rsidRPr="0023147B">
              <w:rPr>
                <w:rFonts w:asciiTheme="minorHAnsi" w:hAnsiTheme="minorHAnsi" w:cstheme="minorHAnsi"/>
                <w:color w:val="000000" w:themeColor="text1"/>
                <w:sz w:val="18"/>
                <w:szCs w:val="18"/>
                <w:lang w:eastAsia="en-GB"/>
              </w:rPr>
              <w:t xml:space="preserve"> </w:t>
            </w:r>
          </w:p>
        </w:tc>
      </w:tr>
      <w:tr w:rsidR="00323A89" w:rsidRPr="0057724B" w14:paraId="4959F995" w14:textId="77777777" w:rsidTr="0023147B">
        <w:trPr>
          <w:trHeight w:val="360"/>
        </w:trPr>
        <w:tc>
          <w:tcPr>
            <w:tcW w:w="2126" w:type="dxa"/>
            <w:shd w:val="clear" w:color="000000" w:fill="FFFFFF"/>
            <w:noWrap/>
            <w:vAlign w:val="center"/>
            <w:hideMark/>
          </w:tcPr>
          <w:p w14:paraId="68271E5F" w14:textId="77777777" w:rsidR="00323A89" w:rsidRPr="0023147B" w:rsidRDefault="00323A89" w:rsidP="00C63C26">
            <w:pPr>
              <w:rPr>
                <w:rFonts w:asciiTheme="minorHAnsi" w:hAnsiTheme="minorHAnsi" w:cstheme="minorHAnsi"/>
                <w:sz w:val="18"/>
                <w:szCs w:val="18"/>
                <w:lang w:eastAsia="en-GB"/>
              </w:rPr>
            </w:pPr>
            <w:r w:rsidRPr="0023147B">
              <w:rPr>
                <w:rFonts w:asciiTheme="minorHAnsi" w:hAnsiTheme="minorHAnsi" w:cstheme="minorHAnsi"/>
                <w:sz w:val="18"/>
                <w:szCs w:val="18"/>
                <w:lang w:eastAsia="en-GB"/>
              </w:rPr>
              <w:t>Total Assets</w:t>
            </w:r>
          </w:p>
        </w:tc>
        <w:tc>
          <w:tcPr>
            <w:tcW w:w="1275" w:type="dxa"/>
            <w:vAlign w:val="center"/>
          </w:tcPr>
          <w:p w14:paraId="3FC51CB8" w14:textId="1875CE70"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2,837,590</w:t>
            </w:r>
          </w:p>
        </w:tc>
        <w:tc>
          <w:tcPr>
            <w:tcW w:w="1276" w:type="dxa"/>
            <w:vAlign w:val="center"/>
          </w:tcPr>
          <w:p w14:paraId="07EBA281" w14:textId="28620BFC"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2,966,129</w:t>
            </w:r>
          </w:p>
        </w:tc>
        <w:tc>
          <w:tcPr>
            <w:tcW w:w="1276" w:type="dxa"/>
            <w:shd w:val="clear" w:color="auto" w:fill="auto"/>
            <w:noWrap/>
            <w:vAlign w:val="center"/>
          </w:tcPr>
          <w:p w14:paraId="75C5D24D" w14:textId="05D781D9"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3,340,432</w:t>
            </w:r>
          </w:p>
        </w:tc>
        <w:tc>
          <w:tcPr>
            <w:tcW w:w="1276" w:type="dxa"/>
            <w:vAlign w:val="center"/>
          </w:tcPr>
          <w:p w14:paraId="1671E4A4" w14:textId="20E63A49" w:rsidR="00323A89" w:rsidRPr="0023147B" w:rsidRDefault="00C4618C" w:rsidP="004877A0">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3,674,851</w:t>
            </w:r>
          </w:p>
        </w:tc>
        <w:tc>
          <w:tcPr>
            <w:tcW w:w="1276" w:type="dxa"/>
            <w:shd w:val="clear" w:color="auto" w:fill="auto"/>
            <w:noWrap/>
            <w:vAlign w:val="center"/>
            <w:hideMark/>
          </w:tcPr>
          <w:p w14:paraId="4121D0F4" w14:textId="70D540CC" w:rsidR="00323A89" w:rsidRPr="0023147B" w:rsidRDefault="00323A89">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3</w:t>
            </w:r>
            <w:r w:rsidR="007C67AD" w:rsidRPr="0023147B">
              <w:rPr>
                <w:rFonts w:asciiTheme="minorHAnsi" w:hAnsiTheme="minorHAnsi" w:cstheme="minorHAnsi"/>
                <w:color w:val="000000" w:themeColor="text1"/>
                <w:sz w:val="18"/>
                <w:szCs w:val="18"/>
                <w:lang w:eastAsia="en-GB"/>
              </w:rPr>
              <w:t>,204,751</w:t>
            </w:r>
            <w:r w:rsidRPr="0023147B">
              <w:rPr>
                <w:rFonts w:asciiTheme="minorHAnsi" w:hAnsiTheme="minorHAnsi" w:cstheme="minorHAnsi"/>
                <w:color w:val="000000" w:themeColor="text1"/>
                <w:sz w:val="18"/>
                <w:szCs w:val="18"/>
                <w:lang w:eastAsia="en-GB"/>
              </w:rPr>
              <w:t xml:space="preserve"> </w:t>
            </w:r>
          </w:p>
        </w:tc>
      </w:tr>
      <w:tr w:rsidR="00323A89" w:rsidRPr="0057724B" w14:paraId="520E6C8E" w14:textId="77777777" w:rsidTr="0023147B">
        <w:trPr>
          <w:trHeight w:val="360"/>
        </w:trPr>
        <w:tc>
          <w:tcPr>
            <w:tcW w:w="2126" w:type="dxa"/>
            <w:shd w:val="clear" w:color="000000" w:fill="FFFFFF"/>
            <w:noWrap/>
            <w:vAlign w:val="center"/>
            <w:hideMark/>
          </w:tcPr>
          <w:p w14:paraId="1BC893E9" w14:textId="77777777" w:rsidR="00323A89" w:rsidRPr="0023147B" w:rsidRDefault="00323A89" w:rsidP="00C63C26">
            <w:pPr>
              <w:rPr>
                <w:rFonts w:asciiTheme="minorHAnsi" w:hAnsiTheme="minorHAnsi" w:cstheme="minorHAnsi"/>
                <w:sz w:val="18"/>
                <w:szCs w:val="18"/>
                <w:lang w:eastAsia="en-GB"/>
              </w:rPr>
            </w:pPr>
            <w:r w:rsidRPr="0023147B">
              <w:rPr>
                <w:rFonts w:asciiTheme="minorHAnsi" w:hAnsiTheme="minorHAnsi" w:cstheme="minorHAnsi"/>
                <w:sz w:val="18"/>
                <w:szCs w:val="18"/>
                <w:lang w:eastAsia="en-GB"/>
              </w:rPr>
              <w:t>Total Liabilities</w:t>
            </w:r>
          </w:p>
        </w:tc>
        <w:tc>
          <w:tcPr>
            <w:tcW w:w="1275" w:type="dxa"/>
            <w:vAlign w:val="center"/>
          </w:tcPr>
          <w:p w14:paraId="78DF0FC2" w14:textId="765B7B65"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292,159</w:t>
            </w:r>
          </w:p>
        </w:tc>
        <w:tc>
          <w:tcPr>
            <w:tcW w:w="1276" w:type="dxa"/>
            <w:vAlign w:val="center"/>
          </w:tcPr>
          <w:p w14:paraId="206C7592" w14:textId="608D5858"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258,066</w:t>
            </w:r>
          </w:p>
        </w:tc>
        <w:tc>
          <w:tcPr>
            <w:tcW w:w="1276" w:type="dxa"/>
            <w:shd w:val="clear" w:color="auto" w:fill="auto"/>
            <w:noWrap/>
            <w:vAlign w:val="center"/>
          </w:tcPr>
          <w:p w14:paraId="7BE731AF" w14:textId="10948203"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1,004,490</w:t>
            </w:r>
          </w:p>
        </w:tc>
        <w:tc>
          <w:tcPr>
            <w:tcW w:w="1276" w:type="dxa"/>
            <w:vAlign w:val="center"/>
          </w:tcPr>
          <w:p w14:paraId="5264E86D" w14:textId="21A900B4" w:rsidR="00323A89" w:rsidRPr="0023147B" w:rsidRDefault="00C4618C" w:rsidP="004877A0">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1,254,035</w:t>
            </w:r>
          </w:p>
        </w:tc>
        <w:tc>
          <w:tcPr>
            <w:tcW w:w="1276" w:type="dxa"/>
            <w:shd w:val="clear" w:color="auto" w:fill="auto"/>
            <w:noWrap/>
            <w:vAlign w:val="center"/>
            <w:hideMark/>
          </w:tcPr>
          <w:p w14:paraId="6F6A09FF" w14:textId="4023D17D" w:rsidR="00323A89" w:rsidRPr="0023147B" w:rsidRDefault="007C67AD"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702,188</w:t>
            </w:r>
            <w:r w:rsidR="00323A89" w:rsidRPr="0023147B">
              <w:rPr>
                <w:rFonts w:asciiTheme="minorHAnsi" w:hAnsiTheme="minorHAnsi" w:cstheme="minorHAnsi"/>
                <w:color w:val="000000" w:themeColor="text1"/>
                <w:sz w:val="18"/>
                <w:szCs w:val="18"/>
                <w:lang w:eastAsia="en-GB"/>
              </w:rPr>
              <w:t xml:space="preserve"> </w:t>
            </w:r>
          </w:p>
        </w:tc>
      </w:tr>
      <w:tr w:rsidR="00323A89" w:rsidRPr="0057724B" w14:paraId="526BF3A3" w14:textId="77777777" w:rsidTr="0023147B">
        <w:trPr>
          <w:trHeight w:val="360"/>
        </w:trPr>
        <w:tc>
          <w:tcPr>
            <w:tcW w:w="2126" w:type="dxa"/>
            <w:shd w:val="clear" w:color="000000" w:fill="FFFFFF"/>
            <w:noWrap/>
            <w:vAlign w:val="center"/>
            <w:hideMark/>
          </w:tcPr>
          <w:p w14:paraId="0E67533D" w14:textId="77777777" w:rsidR="00323A89" w:rsidRPr="0023147B" w:rsidRDefault="00323A89" w:rsidP="00C63C26">
            <w:pPr>
              <w:rPr>
                <w:rFonts w:asciiTheme="minorHAnsi" w:hAnsiTheme="minorHAnsi" w:cstheme="minorHAnsi"/>
                <w:sz w:val="18"/>
                <w:szCs w:val="18"/>
                <w:lang w:eastAsia="en-GB"/>
              </w:rPr>
            </w:pPr>
            <w:r w:rsidRPr="0023147B">
              <w:rPr>
                <w:rFonts w:asciiTheme="minorHAnsi" w:hAnsiTheme="minorHAnsi" w:cstheme="minorHAnsi"/>
                <w:sz w:val="18"/>
                <w:szCs w:val="18"/>
                <w:lang w:eastAsia="en-GB"/>
              </w:rPr>
              <w:t>Shareholders' Funds</w:t>
            </w:r>
          </w:p>
        </w:tc>
        <w:tc>
          <w:tcPr>
            <w:tcW w:w="1275" w:type="dxa"/>
            <w:vAlign w:val="center"/>
          </w:tcPr>
          <w:p w14:paraId="2CF101DC" w14:textId="08133882" w:rsidR="00323A89" w:rsidRPr="0023147B" w:rsidRDefault="00323A89" w:rsidP="00C63C26">
            <w:pPr>
              <w:jc w:val="right"/>
              <w:rPr>
                <w:rFonts w:asciiTheme="minorHAnsi" w:hAnsiTheme="minorHAnsi" w:cstheme="minorHAnsi"/>
                <w:color w:val="FF0000"/>
                <w:sz w:val="18"/>
                <w:szCs w:val="18"/>
                <w:lang w:eastAsia="en-GB"/>
              </w:rPr>
            </w:pPr>
            <w:r w:rsidRPr="0023147B">
              <w:rPr>
                <w:rFonts w:asciiTheme="minorHAnsi" w:hAnsiTheme="minorHAnsi" w:cstheme="minorHAnsi"/>
                <w:color w:val="000000" w:themeColor="text1"/>
                <w:sz w:val="18"/>
                <w:szCs w:val="18"/>
                <w:lang w:eastAsia="en-GB"/>
              </w:rPr>
              <w:t>2,545,431</w:t>
            </w:r>
          </w:p>
        </w:tc>
        <w:tc>
          <w:tcPr>
            <w:tcW w:w="1276" w:type="dxa"/>
            <w:vAlign w:val="center"/>
          </w:tcPr>
          <w:p w14:paraId="34E11F54" w14:textId="0B666940" w:rsidR="00323A89" w:rsidRPr="0023147B" w:rsidRDefault="00323A89" w:rsidP="00C63C26">
            <w:pPr>
              <w:jc w:val="right"/>
              <w:rPr>
                <w:rFonts w:asciiTheme="minorHAnsi" w:hAnsiTheme="minorHAnsi" w:cstheme="minorHAnsi"/>
                <w:color w:val="FF0000"/>
                <w:sz w:val="18"/>
                <w:szCs w:val="18"/>
                <w:lang w:eastAsia="en-GB"/>
              </w:rPr>
            </w:pPr>
            <w:r w:rsidRPr="0023147B">
              <w:rPr>
                <w:rFonts w:asciiTheme="minorHAnsi" w:hAnsiTheme="minorHAnsi" w:cstheme="minorHAnsi"/>
                <w:color w:val="000000" w:themeColor="text1"/>
                <w:sz w:val="18"/>
                <w:szCs w:val="18"/>
                <w:lang w:eastAsia="en-GB"/>
              </w:rPr>
              <w:t>2,708,063</w:t>
            </w:r>
          </w:p>
        </w:tc>
        <w:tc>
          <w:tcPr>
            <w:tcW w:w="1276" w:type="dxa"/>
            <w:shd w:val="clear" w:color="auto" w:fill="auto"/>
            <w:noWrap/>
            <w:vAlign w:val="center"/>
          </w:tcPr>
          <w:p w14:paraId="3B7B9B27" w14:textId="15BFEB3B"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2,335,942</w:t>
            </w:r>
          </w:p>
        </w:tc>
        <w:tc>
          <w:tcPr>
            <w:tcW w:w="1276" w:type="dxa"/>
            <w:vAlign w:val="center"/>
          </w:tcPr>
          <w:p w14:paraId="159DAE0C" w14:textId="4A8E8A57" w:rsidR="00323A89" w:rsidRPr="0023147B" w:rsidRDefault="00C4618C" w:rsidP="004877A0">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2,420,816</w:t>
            </w:r>
          </w:p>
        </w:tc>
        <w:tc>
          <w:tcPr>
            <w:tcW w:w="1276" w:type="dxa"/>
            <w:shd w:val="clear" w:color="auto" w:fill="auto"/>
            <w:noWrap/>
            <w:vAlign w:val="center"/>
            <w:hideMark/>
          </w:tcPr>
          <w:p w14:paraId="0FFC0582" w14:textId="39287A28" w:rsidR="00323A89" w:rsidRPr="0023147B" w:rsidRDefault="007C67AD"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2,502</w:t>
            </w:r>
            <w:r w:rsidR="00AF695B" w:rsidRPr="0023147B">
              <w:rPr>
                <w:rFonts w:asciiTheme="minorHAnsi" w:hAnsiTheme="minorHAnsi" w:cstheme="minorHAnsi"/>
                <w:color w:val="000000" w:themeColor="text1"/>
                <w:sz w:val="18"/>
                <w:szCs w:val="18"/>
                <w:lang w:eastAsia="en-GB"/>
              </w:rPr>
              <w:t>,563</w:t>
            </w:r>
            <w:r w:rsidR="00323A89" w:rsidRPr="0023147B">
              <w:rPr>
                <w:rFonts w:asciiTheme="minorHAnsi" w:hAnsiTheme="minorHAnsi" w:cstheme="minorHAnsi"/>
                <w:color w:val="000000" w:themeColor="text1"/>
                <w:sz w:val="18"/>
                <w:szCs w:val="18"/>
                <w:lang w:eastAsia="en-GB"/>
              </w:rPr>
              <w:t xml:space="preserve"> </w:t>
            </w:r>
          </w:p>
        </w:tc>
      </w:tr>
      <w:tr w:rsidR="00323A89" w:rsidRPr="0057724B" w14:paraId="589E27B2" w14:textId="77777777" w:rsidTr="0023147B">
        <w:trPr>
          <w:trHeight w:val="360"/>
        </w:trPr>
        <w:tc>
          <w:tcPr>
            <w:tcW w:w="2126" w:type="dxa"/>
            <w:shd w:val="clear" w:color="000000" w:fill="FFFFFF"/>
            <w:noWrap/>
            <w:vAlign w:val="center"/>
          </w:tcPr>
          <w:p w14:paraId="126EA2E3" w14:textId="77777777" w:rsidR="00323A89" w:rsidRPr="0023147B" w:rsidRDefault="00323A89" w:rsidP="00C63C26">
            <w:pPr>
              <w:rPr>
                <w:rFonts w:asciiTheme="minorHAnsi" w:hAnsiTheme="minorHAnsi" w:cstheme="minorHAnsi"/>
                <w:sz w:val="18"/>
                <w:szCs w:val="18"/>
                <w:lang w:eastAsia="en-GB"/>
              </w:rPr>
            </w:pPr>
            <w:r w:rsidRPr="0023147B">
              <w:rPr>
                <w:rFonts w:asciiTheme="minorHAnsi" w:hAnsiTheme="minorHAnsi" w:cstheme="minorHAnsi"/>
                <w:sz w:val="18"/>
                <w:szCs w:val="18"/>
                <w:lang w:eastAsia="en-GB"/>
              </w:rPr>
              <w:t>EBITDA %</w:t>
            </w:r>
          </w:p>
        </w:tc>
        <w:tc>
          <w:tcPr>
            <w:tcW w:w="1275" w:type="dxa"/>
            <w:vAlign w:val="center"/>
          </w:tcPr>
          <w:p w14:paraId="396B9CCE" w14:textId="62B02BF8"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27%</w:t>
            </w:r>
          </w:p>
        </w:tc>
        <w:tc>
          <w:tcPr>
            <w:tcW w:w="1276" w:type="dxa"/>
            <w:vAlign w:val="center"/>
          </w:tcPr>
          <w:p w14:paraId="706B6978" w14:textId="0BA787F0"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21%</w:t>
            </w:r>
          </w:p>
        </w:tc>
        <w:tc>
          <w:tcPr>
            <w:tcW w:w="1276" w:type="dxa"/>
            <w:shd w:val="clear" w:color="auto" w:fill="auto"/>
            <w:noWrap/>
            <w:vAlign w:val="center"/>
          </w:tcPr>
          <w:p w14:paraId="63BA0A3E" w14:textId="42BCF282"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25%</w:t>
            </w:r>
          </w:p>
        </w:tc>
        <w:tc>
          <w:tcPr>
            <w:tcW w:w="1276" w:type="dxa"/>
            <w:vAlign w:val="center"/>
          </w:tcPr>
          <w:p w14:paraId="4C774E6E" w14:textId="20DB48FF" w:rsidR="00323A89" w:rsidRPr="0023147B" w:rsidRDefault="005D0814" w:rsidP="004877A0">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24%</w:t>
            </w:r>
          </w:p>
        </w:tc>
        <w:tc>
          <w:tcPr>
            <w:tcW w:w="1276" w:type="dxa"/>
            <w:shd w:val="clear" w:color="auto" w:fill="auto"/>
            <w:noWrap/>
            <w:vAlign w:val="center"/>
          </w:tcPr>
          <w:p w14:paraId="7327CADB" w14:textId="60E330E3" w:rsidR="00323A89" w:rsidRPr="0023147B" w:rsidRDefault="00AF695B"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24%</w:t>
            </w:r>
          </w:p>
        </w:tc>
      </w:tr>
      <w:tr w:rsidR="00323A89" w:rsidRPr="0057724B" w14:paraId="4E63333C" w14:textId="77777777" w:rsidTr="0023147B">
        <w:trPr>
          <w:trHeight w:val="360"/>
        </w:trPr>
        <w:tc>
          <w:tcPr>
            <w:tcW w:w="2126" w:type="dxa"/>
            <w:shd w:val="clear" w:color="000000" w:fill="FFFFFF"/>
            <w:noWrap/>
            <w:vAlign w:val="center"/>
          </w:tcPr>
          <w:p w14:paraId="4665C67C" w14:textId="77777777" w:rsidR="00323A89" w:rsidRPr="0023147B" w:rsidRDefault="00323A89" w:rsidP="00C63C26">
            <w:pPr>
              <w:rPr>
                <w:rFonts w:asciiTheme="minorHAnsi" w:hAnsiTheme="minorHAnsi" w:cstheme="minorHAnsi"/>
                <w:sz w:val="18"/>
                <w:szCs w:val="18"/>
                <w:lang w:eastAsia="en-GB"/>
              </w:rPr>
            </w:pPr>
            <w:r w:rsidRPr="0023147B">
              <w:rPr>
                <w:rFonts w:asciiTheme="minorHAnsi" w:hAnsiTheme="minorHAnsi" w:cstheme="minorHAnsi"/>
                <w:sz w:val="18"/>
                <w:szCs w:val="18"/>
                <w:lang w:eastAsia="en-GB"/>
              </w:rPr>
              <w:t>NOPAT %</w:t>
            </w:r>
          </w:p>
        </w:tc>
        <w:tc>
          <w:tcPr>
            <w:tcW w:w="1275" w:type="dxa"/>
            <w:vAlign w:val="center"/>
          </w:tcPr>
          <w:p w14:paraId="497C4F53" w14:textId="0F279E97"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10.7%</w:t>
            </w:r>
          </w:p>
        </w:tc>
        <w:tc>
          <w:tcPr>
            <w:tcW w:w="1276" w:type="dxa"/>
            <w:vAlign w:val="center"/>
          </w:tcPr>
          <w:p w14:paraId="40FBF98C" w14:textId="3FA643D7"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7.6%</w:t>
            </w:r>
          </w:p>
        </w:tc>
        <w:tc>
          <w:tcPr>
            <w:tcW w:w="1276" w:type="dxa"/>
            <w:shd w:val="clear" w:color="auto" w:fill="auto"/>
            <w:noWrap/>
            <w:vAlign w:val="center"/>
          </w:tcPr>
          <w:p w14:paraId="1DA133E6" w14:textId="06D764F0" w:rsidR="00323A89" w:rsidRPr="0023147B" w:rsidRDefault="000527CC"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10.3</w:t>
            </w:r>
            <w:r w:rsidR="00323A89" w:rsidRPr="0023147B">
              <w:rPr>
                <w:rFonts w:asciiTheme="minorHAnsi" w:hAnsiTheme="minorHAnsi" w:cstheme="minorHAnsi"/>
                <w:color w:val="000000" w:themeColor="text1"/>
                <w:sz w:val="18"/>
                <w:szCs w:val="18"/>
                <w:lang w:eastAsia="en-GB"/>
              </w:rPr>
              <w:t>%</w:t>
            </w:r>
          </w:p>
        </w:tc>
        <w:tc>
          <w:tcPr>
            <w:tcW w:w="1276" w:type="dxa"/>
            <w:vAlign w:val="center"/>
          </w:tcPr>
          <w:p w14:paraId="1E213B41" w14:textId="178C2A18" w:rsidR="00323A89" w:rsidRPr="0023147B" w:rsidRDefault="005D0814" w:rsidP="004877A0">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9.7%</w:t>
            </w:r>
          </w:p>
        </w:tc>
        <w:tc>
          <w:tcPr>
            <w:tcW w:w="1276" w:type="dxa"/>
            <w:shd w:val="clear" w:color="auto" w:fill="auto"/>
            <w:noWrap/>
            <w:vAlign w:val="center"/>
          </w:tcPr>
          <w:p w14:paraId="4C50AF55" w14:textId="1047F0F4"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9.</w:t>
            </w:r>
            <w:r w:rsidR="00417669" w:rsidRPr="0023147B">
              <w:rPr>
                <w:rFonts w:asciiTheme="minorHAnsi" w:hAnsiTheme="minorHAnsi" w:cstheme="minorHAnsi"/>
                <w:color w:val="000000" w:themeColor="text1"/>
                <w:sz w:val="18"/>
                <w:szCs w:val="18"/>
                <w:lang w:eastAsia="en-GB"/>
              </w:rPr>
              <w:t>6</w:t>
            </w:r>
            <w:r w:rsidRPr="0023147B">
              <w:rPr>
                <w:rFonts w:asciiTheme="minorHAnsi" w:hAnsiTheme="minorHAnsi" w:cstheme="minorHAnsi"/>
                <w:color w:val="000000" w:themeColor="text1"/>
                <w:sz w:val="18"/>
                <w:szCs w:val="18"/>
                <w:lang w:eastAsia="en-GB"/>
              </w:rPr>
              <w:t>%</w:t>
            </w:r>
          </w:p>
        </w:tc>
      </w:tr>
      <w:tr w:rsidR="00323A89" w:rsidRPr="0057724B" w14:paraId="4150AE92" w14:textId="77777777" w:rsidTr="0023147B">
        <w:trPr>
          <w:trHeight w:val="360"/>
        </w:trPr>
        <w:tc>
          <w:tcPr>
            <w:tcW w:w="2126" w:type="dxa"/>
            <w:shd w:val="clear" w:color="000000" w:fill="FFFFFF"/>
            <w:noWrap/>
            <w:vAlign w:val="center"/>
            <w:hideMark/>
          </w:tcPr>
          <w:p w14:paraId="4EB15917" w14:textId="77777777" w:rsidR="00323A89" w:rsidRPr="0023147B" w:rsidRDefault="00323A89" w:rsidP="00C63C26">
            <w:pPr>
              <w:rPr>
                <w:rFonts w:asciiTheme="minorHAnsi" w:hAnsiTheme="minorHAnsi" w:cstheme="minorHAnsi"/>
                <w:sz w:val="18"/>
                <w:szCs w:val="18"/>
                <w:lang w:eastAsia="en-GB"/>
              </w:rPr>
            </w:pPr>
            <w:r w:rsidRPr="0023147B">
              <w:rPr>
                <w:rFonts w:asciiTheme="minorHAnsi" w:hAnsiTheme="minorHAnsi" w:cstheme="minorHAnsi"/>
                <w:sz w:val="18"/>
                <w:szCs w:val="18"/>
                <w:lang w:eastAsia="en-GB"/>
              </w:rPr>
              <w:t>ROE %</w:t>
            </w:r>
          </w:p>
        </w:tc>
        <w:tc>
          <w:tcPr>
            <w:tcW w:w="1275" w:type="dxa"/>
            <w:vAlign w:val="center"/>
          </w:tcPr>
          <w:p w14:paraId="04B3AE76" w14:textId="1568A305"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 xml:space="preserve">3.0% </w:t>
            </w:r>
          </w:p>
        </w:tc>
        <w:tc>
          <w:tcPr>
            <w:tcW w:w="1276" w:type="dxa"/>
            <w:vAlign w:val="center"/>
          </w:tcPr>
          <w:p w14:paraId="7C3895F1" w14:textId="28235EC5"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2.1%</w:t>
            </w:r>
          </w:p>
        </w:tc>
        <w:tc>
          <w:tcPr>
            <w:tcW w:w="1276" w:type="dxa"/>
            <w:shd w:val="clear" w:color="auto" w:fill="auto"/>
            <w:noWrap/>
            <w:vAlign w:val="center"/>
          </w:tcPr>
          <w:p w14:paraId="21DD3DC8" w14:textId="32F38919" w:rsidR="00323A89" w:rsidRPr="0023147B" w:rsidRDefault="000527CC"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4.0</w:t>
            </w:r>
            <w:r w:rsidR="00323A89" w:rsidRPr="0023147B">
              <w:rPr>
                <w:rFonts w:asciiTheme="minorHAnsi" w:hAnsiTheme="minorHAnsi" w:cstheme="minorHAnsi"/>
                <w:color w:val="000000" w:themeColor="text1"/>
                <w:sz w:val="18"/>
                <w:szCs w:val="18"/>
                <w:lang w:eastAsia="en-GB"/>
              </w:rPr>
              <w:t xml:space="preserve">% </w:t>
            </w:r>
          </w:p>
        </w:tc>
        <w:tc>
          <w:tcPr>
            <w:tcW w:w="1276" w:type="dxa"/>
            <w:vAlign w:val="center"/>
          </w:tcPr>
          <w:p w14:paraId="7CCBE237" w14:textId="77378AD2" w:rsidR="00323A89" w:rsidRPr="0023147B" w:rsidRDefault="005D0814" w:rsidP="004877A0">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3.9%</w:t>
            </w:r>
          </w:p>
        </w:tc>
        <w:tc>
          <w:tcPr>
            <w:tcW w:w="1276" w:type="dxa"/>
            <w:shd w:val="clear" w:color="auto" w:fill="auto"/>
            <w:noWrap/>
            <w:vAlign w:val="center"/>
            <w:hideMark/>
          </w:tcPr>
          <w:p w14:paraId="3F97E59E" w14:textId="43DF505C" w:rsidR="00323A89" w:rsidRPr="0023147B" w:rsidRDefault="00AF695B"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3.</w:t>
            </w:r>
            <w:r w:rsidR="00417669" w:rsidRPr="0023147B">
              <w:rPr>
                <w:rFonts w:asciiTheme="minorHAnsi" w:hAnsiTheme="minorHAnsi" w:cstheme="minorHAnsi"/>
                <w:color w:val="000000" w:themeColor="text1"/>
                <w:sz w:val="18"/>
                <w:szCs w:val="18"/>
                <w:lang w:eastAsia="en-GB"/>
              </w:rPr>
              <w:t>25</w:t>
            </w:r>
            <w:r w:rsidR="00323A89" w:rsidRPr="0023147B">
              <w:rPr>
                <w:rFonts w:asciiTheme="minorHAnsi" w:hAnsiTheme="minorHAnsi" w:cstheme="minorHAnsi"/>
                <w:color w:val="000000" w:themeColor="text1"/>
                <w:sz w:val="18"/>
                <w:szCs w:val="18"/>
                <w:lang w:eastAsia="en-GB"/>
              </w:rPr>
              <w:t xml:space="preserve">% </w:t>
            </w:r>
          </w:p>
        </w:tc>
      </w:tr>
      <w:tr w:rsidR="00323A89" w:rsidRPr="0057724B" w14:paraId="70A2C25A" w14:textId="77777777" w:rsidTr="0023147B">
        <w:trPr>
          <w:trHeight w:val="360"/>
        </w:trPr>
        <w:tc>
          <w:tcPr>
            <w:tcW w:w="2126" w:type="dxa"/>
            <w:shd w:val="clear" w:color="000000" w:fill="FFFFFF"/>
            <w:noWrap/>
            <w:vAlign w:val="center"/>
            <w:hideMark/>
          </w:tcPr>
          <w:p w14:paraId="4F45FE84" w14:textId="77777777" w:rsidR="00323A89" w:rsidRPr="0023147B" w:rsidRDefault="00323A89" w:rsidP="00C63C26">
            <w:pPr>
              <w:rPr>
                <w:rFonts w:asciiTheme="minorHAnsi" w:hAnsiTheme="minorHAnsi" w:cstheme="minorHAnsi"/>
                <w:sz w:val="18"/>
                <w:szCs w:val="18"/>
                <w:lang w:eastAsia="en-GB"/>
              </w:rPr>
            </w:pPr>
            <w:r w:rsidRPr="0023147B">
              <w:rPr>
                <w:rFonts w:asciiTheme="minorHAnsi" w:hAnsiTheme="minorHAnsi" w:cstheme="minorHAnsi"/>
                <w:sz w:val="18"/>
                <w:szCs w:val="18"/>
                <w:lang w:eastAsia="en-GB"/>
              </w:rPr>
              <w:t>ROA %</w:t>
            </w:r>
          </w:p>
        </w:tc>
        <w:tc>
          <w:tcPr>
            <w:tcW w:w="1275" w:type="dxa"/>
            <w:vAlign w:val="center"/>
          </w:tcPr>
          <w:p w14:paraId="4B41E1DF" w14:textId="1C747AEF" w:rsidR="00323A89" w:rsidRPr="0023147B" w:rsidRDefault="00323A89" w:rsidP="00C63C26">
            <w:pPr>
              <w:jc w:val="right"/>
              <w:rPr>
                <w:rFonts w:asciiTheme="minorHAnsi" w:hAnsiTheme="minorHAnsi" w:cstheme="minorHAnsi"/>
                <w:color w:val="FF0000"/>
                <w:sz w:val="18"/>
                <w:szCs w:val="18"/>
                <w:lang w:eastAsia="en-GB"/>
              </w:rPr>
            </w:pPr>
            <w:r w:rsidRPr="0023147B">
              <w:rPr>
                <w:rFonts w:asciiTheme="minorHAnsi" w:hAnsiTheme="minorHAnsi" w:cstheme="minorHAnsi"/>
                <w:color w:val="000000" w:themeColor="text1"/>
                <w:sz w:val="18"/>
                <w:szCs w:val="18"/>
                <w:lang w:eastAsia="en-GB"/>
              </w:rPr>
              <w:t xml:space="preserve">2.7% </w:t>
            </w:r>
          </w:p>
        </w:tc>
        <w:tc>
          <w:tcPr>
            <w:tcW w:w="1276" w:type="dxa"/>
            <w:vAlign w:val="center"/>
          </w:tcPr>
          <w:p w14:paraId="398312A3" w14:textId="1AF6F130" w:rsidR="00323A89" w:rsidRPr="0023147B" w:rsidRDefault="00323A89" w:rsidP="00C63C26">
            <w:pPr>
              <w:jc w:val="right"/>
              <w:rPr>
                <w:rFonts w:asciiTheme="minorHAnsi" w:hAnsiTheme="minorHAnsi" w:cstheme="minorHAnsi"/>
                <w:color w:val="FF0000"/>
                <w:sz w:val="18"/>
                <w:szCs w:val="18"/>
                <w:lang w:eastAsia="en-GB"/>
              </w:rPr>
            </w:pPr>
            <w:r w:rsidRPr="0023147B">
              <w:rPr>
                <w:rFonts w:asciiTheme="minorHAnsi" w:hAnsiTheme="minorHAnsi" w:cstheme="minorHAnsi"/>
                <w:color w:val="000000" w:themeColor="text1"/>
                <w:sz w:val="18"/>
                <w:szCs w:val="18"/>
                <w:lang w:eastAsia="en-GB"/>
              </w:rPr>
              <w:t>1.9%</w:t>
            </w:r>
          </w:p>
        </w:tc>
        <w:tc>
          <w:tcPr>
            <w:tcW w:w="1276" w:type="dxa"/>
            <w:shd w:val="clear" w:color="auto" w:fill="auto"/>
            <w:noWrap/>
            <w:vAlign w:val="center"/>
          </w:tcPr>
          <w:p w14:paraId="746EBCE5" w14:textId="691AAFD0"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2.</w:t>
            </w:r>
            <w:r w:rsidR="000527CC" w:rsidRPr="0023147B">
              <w:rPr>
                <w:rFonts w:asciiTheme="minorHAnsi" w:hAnsiTheme="minorHAnsi" w:cstheme="minorHAnsi"/>
                <w:color w:val="000000" w:themeColor="text1"/>
                <w:sz w:val="18"/>
                <w:szCs w:val="18"/>
                <w:lang w:eastAsia="en-GB"/>
              </w:rPr>
              <w:t>8</w:t>
            </w:r>
            <w:r w:rsidRPr="0023147B">
              <w:rPr>
                <w:rFonts w:asciiTheme="minorHAnsi" w:hAnsiTheme="minorHAnsi" w:cstheme="minorHAnsi"/>
                <w:color w:val="000000" w:themeColor="text1"/>
                <w:sz w:val="18"/>
                <w:szCs w:val="18"/>
                <w:lang w:eastAsia="en-GB"/>
              </w:rPr>
              <w:t xml:space="preserve">% </w:t>
            </w:r>
          </w:p>
        </w:tc>
        <w:tc>
          <w:tcPr>
            <w:tcW w:w="1276" w:type="dxa"/>
            <w:vAlign w:val="center"/>
          </w:tcPr>
          <w:p w14:paraId="35F6F6F7" w14:textId="28D58BA8" w:rsidR="00323A89" w:rsidRPr="0023147B" w:rsidRDefault="005D0814" w:rsidP="004877A0">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2.6%</w:t>
            </w:r>
          </w:p>
        </w:tc>
        <w:tc>
          <w:tcPr>
            <w:tcW w:w="1276" w:type="dxa"/>
            <w:shd w:val="clear" w:color="auto" w:fill="auto"/>
            <w:noWrap/>
            <w:vAlign w:val="center"/>
            <w:hideMark/>
          </w:tcPr>
          <w:p w14:paraId="57519A8C" w14:textId="3FD7A8F6"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2.</w:t>
            </w:r>
            <w:r w:rsidR="00417669" w:rsidRPr="0023147B">
              <w:rPr>
                <w:rFonts w:asciiTheme="minorHAnsi" w:hAnsiTheme="minorHAnsi" w:cstheme="minorHAnsi"/>
                <w:color w:val="000000" w:themeColor="text1"/>
                <w:sz w:val="18"/>
                <w:szCs w:val="18"/>
                <w:lang w:eastAsia="en-GB"/>
              </w:rPr>
              <w:t>5</w:t>
            </w:r>
            <w:r w:rsidRPr="0023147B">
              <w:rPr>
                <w:rFonts w:asciiTheme="minorHAnsi" w:hAnsiTheme="minorHAnsi" w:cstheme="minorHAnsi"/>
                <w:color w:val="000000" w:themeColor="text1"/>
                <w:sz w:val="18"/>
                <w:szCs w:val="18"/>
                <w:lang w:eastAsia="en-GB"/>
              </w:rPr>
              <w:t xml:space="preserve">% </w:t>
            </w:r>
          </w:p>
        </w:tc>
      </w:tr>
      <w:tr w:rsidR="00323A89" w:rsidRPr="0057724B" w14:paraId="697556C4" w14:textId="77777777" w:rsidTr="0023147B">
        <w:trPr>
          <w:trHeight w:val="360"/>
        </w:trPr>
        <w:tc>
          <w:tcPr>
            <w:tcW w:w="2126" w:type="dxa"/>
            <w:shd w:val="clear" w:color="000000" w:fill="FFFFFF"/>
            <w:noWrap/>
            <w:vAlign w:val="center"/>
          </w:tcPr>
          <w:p w14:paraId="2F06DA34" w14:textId="77777777" w:rsidR="00323A89" w:rsidRPr="0023147B" w:rsidRDefault="00323A89" w:rsidP="00C63C26">
            <w:pPr>
              <w:rPr>
                <w:rFonts w:asciiTheme="minorHAnsi" w:hAnsiTheme="minorHAnsi" w:cstheme="minorHAnsi"/>
                <w:sz w:val="18"/>
                <w:szCs w:val="18"/>
                <w:lang w:eastAsia="en-GB"/>
              </w:rPr>
            </w:pPr>
            <w:r w:rsidRPr="0023147B">
              <w:rPr>
                <w:rFonts w:asciiTheme="minorHAnsi" w:hAnsiTheme="minorHAnsi" w:cstheme="minorHAnsi"/>
                <w:sz w:val="18"/>
                <w:szCs w:val="18"/>
                <w:lang w:eastAsia="en-GB"/>
              </w:rPr>
              <w:t>Current Assets / Current liabilities</w:t>
            </w:r>
          </w:p>
        </w:tc>
        <w:tc>
          <w:tcPr>
            <w:tcW w:w="1275" w:type="dxa"/>
            <w:vAlign w:val="center"/>
          </w:tcPr>
          <w:p w14:paraId="34EDB8C2" w14:textId="64A0AF8F"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 xml:space="preserve">1.37 </w:t>
            </w:r>
          </w:p>
        </w:tc>
        <w:tc>
          <w:tcPr>
            <w:tcW w:w="1276" w:type="dxa"/>
            <w:vAlign w:val="center"/>
          </w:tcPr>
          <w:p w14:paraId="1ED5C957" w14:textId="7A50A1BF"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1.49</w:t>
            </w:r>
          </w:p>
        </w:tc>
        <w:tc>
          <w:tcPr>
            <w:tcW w:w="1276" w:type="dxa"/>
            <w:shd w:val="clear" w:color="auto" w:fill="auto"/>
            <w:noWrap/>
            <w:vAlign w:val="center"/>
          </w:tcPr>
          <w:p w14:paraId="0A99C070" w14:textId="4F79BC82"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1.</w:t>
            </w:r>
            <w:r w:rsidR="000527CC" w:rsidRPr="0023147B">
              <w:rPr>
                <w:rFonts w:asciiTheme="minorHAnsi" w:hAnsiTheme="minorHAnsi" w:cstheme="minorHAnsi"/>
                <w:color w:val="000000" w:themeColor="text1"/>
                <w:sz w:val="18"/>
                <w:szCs w:val="18"/>
                <w:lang w:eastAsia="en-GB"/>
              </w:rPr>
              <w:t>61</w:t>
            </w:r>
            <w:r w:rsidRPr="0023147B">
              <w:rPr>
                <w:rFonts w:asciiTheme="minorHAnsi" w:hAnsiTheme="minorHAnsi" w:cstheme="minorHAnsi"/>
                <w:color w:val="000000" w:themeColor="text1"/>
                <w:sz w:val="18"/>
                <w:szCs w:val="18"/>
                <w:lang w:eastAsia="en-GB"/>
              </w:rPr>
              <w:t xml:space="preserve"> </w:t>
            </w:r>
          </w:p>
        </w:tc>
        <w:tc>
          <w:tcPr>
            <w:tcW w:w="1276" w:type="dxa"/>
            <w:vAlign w:val="center"/>
          </w:tcPr>
          <w:p w14:paraId="1CDE60E2" w14:textId="222611CE" w:rsidR="00323A89" w:rsidRPr="0023147B" w:rsidRDefault="005D0814" w:rsidP="004877A0">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1.89</w:t>
            </w:r>
          </w:p>
        </w:tc>
        <w:tc>
          <w:tcPr>
            <w:tcW w:w="1276" w:type="dxa"/>
            <w:shd w:val="clear" w:color="auto" w:fill="auto"/>
            <w:noWrap/>
            <w:vAlign w:val="center"/>
          </w:tcPr>
          <w:p w14:paraId="47783425" w14:textId="0C41AA96"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1.</w:t>
            </w:r>
            <w:r w:rsidR="00417669" w:rsidRPr="0023147B">
              <w:rPr>
                <w:rFonts w:asciiTheme="minorHAnsi" w:hAnsiTheme="minorHAnsi" w:cstheme="minorHAnsi"/>
                <w:color w:val="000000" w:themeColor="text1"/>
                <w:sz w:val="18"/>
                <w:szCs w:val="18"/>
                <w:lang w:eastAsia="en-GB"/>
              </w:rPr>
              <w:t>59</w:t>
            </w:r>
            <w:r w:rsidRPr="0023147B">
              <w:rPr>
                <w:rFonts w:asciiTheme="minorHAnsi" w:hAnsiTheme="minorHAnsi" w:cstheme="minorHAnsi"/>
                <w:color w:val="000000" w:themeColor="text1"/>
                <w:sz w:val="18"/>
                <w:szCs w:val="18"/>
                <w:lang w:eastAsia="en-GB"/>
              </w:rPr>
              <w:t xml:space="preserve">  </w:t>
            </w:r>
          </w:p>
        </w:tc>
      </w:tr>
      <w:tr w:rsidR="00323A89" w:rsidRPr="0057724B" w14:paraId="40D0CC14" w14:textId="77777777" w:rsidTr="0023147B">
        <w:trPr>
          <w:trHeight w:val="360"/>
        </w:trPr>
        <w:tc>
          <w:tcPr>
            <w:tcW w:w="2126" w:type="dxa"/>
            <w:shd w:val="clear" w:color="000000" w:fill="FFFFFF"/>
            <w:noWrap/>
            <w:vAlign w:val="center"/>
          </w:tcPr>
          <w:p w14:paraId="558E898C" w14:textId="77777777" w:rsidR="00323A89" w:rsidRPr="0023147B" w:rsidRDefault="00323A89" w:rsidP="00C63C26">
            <w:pPr>
              <w:rPr>
                <w:rFonts w:asciiTheme="minorHAnsi" w:hAnsiTheme="minorHAnsi" w:cstheme="minorHAnsi"/>
                <w:sz w:val="18"/>
                <w:szCs w:val="18"/>
                <w:lang w:eastAsia="en-GB"/>
              </w:rPr>
            </w:pPr>
            <w:r w:rsidRPr="0023147B">
              <w:rPr>
                <w:rFonts w:asciiTheme="minorHAnsi" w:hAnsiTheme="minorHAnsi" w:cstheme="minorHAnsi"/>
                <w:sz w:val="18"/>
                <w:szCs w:val="18"/>
                <w:lang w:eastAsia="en-GB"/>
              </w:rPr>
              <w:t>Quick Ratio</w:t>
            </w:r>
          </w:p>
        </w:tc>
        <w:tc>
          <w:tcPr>
            <w:tcW w:w="1275" w:type="dxa"/>
            <w:vAlign w:val="center"/>
          </w:tcPr>
          <w:p w14:paraId="583FB2B9" w14:textId="61013DAA"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1.22</w:t>
            </w:r>
          </w:p>
        </w:tc>
        <w:tc>
          <w:tcPr>
            <w:tcW w:w="1276" w:type="dxa"/>
            <w:vAlign w:val="center"/>
          </w:tcPr>
          <w:p w14:paraId="1EB84E82" w14:textId="60E3F98D"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1.31</w:t>
            </w:r>
          </w:p>
        </w:tc>
        <w:tc>
          <w:tcPr>
            <w:tcW w:w="1276" w:type="dxa"/>
            <w:shd w:val="clear" w:color="auto" w:fill="auto"/>
            <w:noWrap/>
            <w:vAlign w:val="center"/>
          </w:tcPr>
          <w:p w14:paraId="1FA888E7" w14:textId="13DEF3F6"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1.61</w:t>
            </w:r>
          </w:p>
        </w:tc>
        <w:tc>
          <w:tcPr>
            <w:tcW w:w="1276" w:type="dxa"/>
            <w:vAlign w:val="center"/>
          </w:tcPr>
          <w:p w14:paraId="5B57F495" w14:textId="0828D954" w:rsidR="00323A89" w:rsidRPr="0023147B" w:rsidRDefault="005D0814" w:rsidP="004877A0">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1.75</w:t>
            </w:r>
          </w:p>
        </w:tc>
        <w:tc>
          <w:tcPr>
            <w:tcW w:w="1276" w:type="dxa"/>
            <w:shd w:val="clear" w:color="auto" w:fill="auto"/>
            <w:noWrap/>
            <w:vAlign w:val="center"/>
          </w:tcPr>
          <w:p w14:paraId="1F98B7D3" w14:textId="4E39EA6C"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1.</w:t>
            </w:r>
            <w:r w:rsidR="00AF695B" w:rsidRPr="0023147B">
              <w:rPr>
                <w:rFonts w:asciiTheme="minorHAnsi" w:hAnsiTheme="minorHAnsi" w:cstheme="minorHAnsi"/>
                <w:color w:val="000000" w:themeColor="text1"/>
                <w:sz w:val="18"/>
                <w:szCs w:val="18"/>
                <w:lang w:eastAsia="en-GB"/>
              </w:rPr>
              <w:t>47</w:t>
            </w:r>
          </w:p>
        </w:tc>
      </w:tr>
      <w:tr w:rsidR="00323A89" w:rsidRPr="0057724B" w14:paraId="49E45E4E" w14:textId="77777777" w:rsidTr="0023147B">
        <w:trPr>
          <w:trHeight w:val="360"/>
        </w:trPr>
        <w:tc>
          <w:tcPr>
            <w:tcW w:w="2126" w:type="dxa"/>
            <w:shd w:val="clear" w:color="000000" w:fill="FFFFFF"/>
            <w:noWrap/>
            <w:vAlign w:val="center"/>
          </w:tcPr>
          <w:p w14:paraId="2531FE79" w14:textId="77777777" w:rsidR="00323A89" w:rsidRPr="0023147B" w:rsidRDefault="00323A89" w:rsidP="00C63C26">
            <w:pPr>
              <w:rPr>
                <w:rFonts w:asciiTheme="minorHAnsi" w:hAnsiTheme="minorHAnsi" w:cstheme="minorHAnsi"/>
                <w:sz w:val="18"/>
                <w:szCs w:val="18"/>
                <w:lang w:eastAsia="en-GB"/>
              </w:rPr>
            </w:pPr>
            <w:r w:rsidRPr="0023147B">
              <w:rPr>
                <w:rFonts w:asciiTheme="minorHAnsi" w:hAnsiTheme="minorHAnsi" w:cstheme="minorHAnsi"/>
                <w:sz w:val="18"/>
                <w:szCs w:val="18"/>
                <w:lang w:eastAsia="en-GB"/>
              </w:rPr>
              <w:t>Accounts Receivable Days</w:t>
            </w:r>
          </w:p>
        </w:tc>
        <w:tc>
          <w:tcPr>
            <w:tcW w:w="1275" w:type="dxa"/>
            <w:vAlign w:val="center"/>
          </w:tcPr>
          <w:p w14:paraId="09FC2E51" w14:textId="37E2BC50"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34</w:t>
            </w:r>
          </w:p>
        </w:tc>
        <w:tc>
          <w:tcPr>
            <w:tcW w:w="1276" w:type="dxa"/>
            <w:vAlign w:val="center"/>
          </w:tcPr>
          <w:p w14:paraId="2A89A268" w14:textId="36409C68"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36</w:t>
            </w:r>
          </w:p>
        </w:tc>
        <w:tc>
          <w:tcPr>
            <w:tcW w:w="1276" w:type="dxa"/>
            <w:shd w:val="clear" w:color="auto" w:fill="auto"/>
            <w:noWrap/>
            <w:vAlign w:val="center"/>
          </w:tcPr>
          <w:p w14:paraId="7D284678" w14:textId="293A6C87"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56</w:t>
            </w:r>
          </w:p>
        </w:tc>
        <w:tc>
          <w:tcPr>
            <w:tcW w:w="1276" w:type="dxa"/>
            <w:vAlign w:val="center"/>
          </w:tcPr>
          <w:p w14:paraId="673256B7" w14:textId="2985DEB5" w:rsidR="00323A89" w:rsidRPr="0023147B" w:rsidRDefault="005D0814" w:rsidP="004877A0">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57</w:t>
            </w:r>
          </w:p>
        </w:tc>
        <w:tc>
          <w:tcPr>
            <w:tcW w:w="1276" w:type="dxa"/>
            <w:shd w:val="clear" w:color="auto" w:fill="auto"/>
            <w:noWrap/>
            <w:vAlign w:val="center"/>
          </w:tcPr>
          <w:p w14:paraId="0D246FDE" w14:textId="1EE31857"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4</w:t>
            </w:r>
            <w:r w:rsidR="00AF695B" w:rsidRPr="0023147B">
              <w:rPr>
                <w:rFonts w:asciiTheme="minorHAnsi" w:hAnsiTheme="minorHAnsi" w:cstheme="minorHAnsi"/>
                <w:color w:val="000000" w:themeColor="text1"/>
                <w:sz w:val="18"/>
                <w:szCs w:val="18"/>
                <w:lang w:eastAsia="en-GB"/>
              </w:rPr>
              <w:t>6</w:t>
            </w:r>
          </w:p>
        </w:tc>
      </w:tr>
      <w:tr w:rsidR="00323A89" w:rsidRPr="0057724B" w14:paraId="7C8885E9" w14:textId="77777777" w:rsidTr="0023147B">
        <w:trPr>
          <w:trHeight w:val="360"/>
        </w:trPr>
        <w:tc>
          <w:tcPr>
            <w:tcW w:w="2126" w:type="dxa"/>
            <w:shd w:val="clear" w:color="000000" w:fill="FFFFFF"/>
            <w:noWrap/>
            <w:vAlign w:val="center"/>
          </w:tcPr>
          <w:p w14:paraId="5902BB30" w14:textId="77777777" w:rsidR="00323A89" w:rsidRPr="0023147B" w:rsidRDefault="00323A89" w:rsidP="00C63C26">
            <w:pPr>
              <w:rPr>
                <w:rFonts w:asciiTheme="minorHAnsi" w:hAnsiTheme="minorHAnsi" w:cstheme="minorHAnsi"/>
                <w:sz w:val="18"/>
                <w:szCs w:val="18"/>
                <w:lang w:eastAsia="en-GB"/>
              </w:rPr>
            </w:pPr>
            <w:r w:rsidRPr="0023147B">
              <w:rPr>
                <w:rFonts w:asciiTheme="minorHAnsi" w:hAnsiTheme="minorHAnsi" w:cstheme="minorHAnsi"/>
                <w:sz w:val="18"/>
                <w:szCs w:val="18"/>
                <w:lang w:eastAsia="en-GB"/>
              </w:rPr>
              <w:t>Assets Turnover</w:t>
            </w:r>
          </w:p>
        </w:tc>
        <w:tc>
          <w:tcPr>
            <w:tcW w:w="1275" w:type="dxa"/>
            <w:vAlign w:val="center"/>
          </w:tcPr>
          <w:p w14:paraId="58D40D02" w14:textId="3236CC1E"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0.29</w:t>
            </w:r>
          </w:p>
        </w:tc>
        <w:tc>
          <w:tcPr>
            <w:tcW w:w="1276" w:type="dxa"/>
            <w:vAlign w:val="center"/>
          </w:tcPr>
          <w:p w14:paraId="5A03E722" w14:textId="7B35CB51"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0.25</w:t>
            </w:r>
          </w:p>
        </w:tc>
        <w:tc>
          <w:tcPr>
            <w:tcW w:w="1276" w:type="dxa"/>
            <w:shd w:val="clear" w:color="auto" w:fill="auto"/>
            <w:noWrap/>
            <w:vAlign w:val="center"/>
          </w:tcPr>
          <w:p w14:paraId="62C6E249" w14:textId="17CD89A7"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0.28</w:t>
            </w:r>
          </w:p>
        </w:tc>
        <w:tc>
          <w:tcPr>
            <w:tcW w:w="1276" w:type="dxa"/>
            <w:vAlign w:val="center"/>
          </w:tcPr>
          <w:p w14:paraId="4F8653EA" w14:textId="0FBD9B8D" w:rsidR="00323A89" w:rsidRPr="0023147B" w:rsidRDefault="005D0814" w:rsidP="004877A0">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0.27</w:t>
            </w:r>
          </w:p>
        </w:tc>
        <w:tc>
          <w:tcPr>
            <w:tcW w:w="1276" w:type="dxa"/>
            <w:shd w:val="clear" w:color="auto" w:fill="auto"/>
            <w:noWrap/>
            <w:vAlign w:val="center"/>
          </w:tcPr>
          <w:p w14:paraId="02E3E9AF" w14:textId="11359448"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0.27</w:t>
            </w:r>
          </w:p>
        </w:tc>
      </w:tr>
      <w:tr w:rsidR="00323A89" w:rsidRPr="0057724B" w14:paraId="1EF66025" w14:textId="77777777" w:rsidTr="0023147B">
        <w:trPr>
          <w:trHeight w:val="360"/>
        </w:trPr>
        <w:tc>
          <w:tcPr>
            <w:tcW w:w="2126" w:type="dxa"/>
            <w:shd w:val="clear" w:color="000000" w:fill="FFFFFF"/>
            <w:noWrap/>
            <w:vAlign w:val="center"/>
            <w:hideMark/>
          </w:tcPr>
          <w:p w14:paraId="1C86235A" w14:textId="77777777" w:rsidR="00323A89" w:rsidRPr="0023147B" w:rsidRDefault="00323A89" w:rsidP="00C63C26">
            <w:pPr>
              <w:rPr>
                <w:rFonts w:asciiTheme="minorHAnsi" w:hAnsiTheme="minorHAnsi" w:cstheme="minorHAnsi"/>
                <w:sz w:val="18"/>
                <w:szCs w:val="18"/>
                <w:lang w:eastAsia="en-GB"/>
              </w:rPr>
            </w:pPr>
            <w:r w:rsidRPr="0023147B">
              <w:rPr>
                <w:rFonts w:asciiTheme="minorHAnsi" w:hAnsiTheme="minorHAnsi" w:cstheme="minorHAnsi"/>
                <w:sz w:val="18"/>
                <w:szCs w:val="18"/>
                <w:lang w:eastAsia="en-GB"/>
              </w:rPr>
              <w:t>Debt / Equity Ratio</w:t>
            </w:r>
          </w:p>
        </w:tc>
        <w:tc>
          <w:tcPr>
            <w:tcW w:w="1275" w:type="dxa"/>
            <w:vAlign w:val="center"/>
          </w:tcPr>
          <w:p w14:paraId="6106E6DF" w14:textId="1864D121" w:rsidR="00323A89" w:rsidRPr="0023147B" w:rsidRDefault="00323A89" w:rsidP="00C63C26">
            <w:pPr>
              <w:jc w:val="right"/>
              <w:rPr>
                <w:rFonts w:asciiTheme="minorHAnsi" w:hAnsiTheme="minorHAnsi" w:cstheme="minorHAnsi"/>
                <w:color w:val="FF0000"/>
                <w:sz w:val="18"/>
                <w:szCs w:val="18"/>
                <w:lang w:eastAsia="en-GB"/>
              </w:rPr>
            </w:pPr>
            <w:r w:rsidRPr="0023147B">
              <w:rPr>
                <w:rFonts w:asciiTheme="minorHAnsi" w:hAnsiTheme="minorHAnsi" w:cstheme="minorHAnsi"/>
                <w:color w:val="000000" w:themeColor="text1"/>
                <w:sz w:val="18"/>
                <w:szCs w:val="18"/>
                <w:lang w:eastAsia="en-GB"/>
              </w:rPr>
              <w:t xml:space="preserve">0.02 </w:t>
            </w:r>
          </w:p>
        </w:tc>
        <w:tc>
          <w:tcPr>
            <w:tcW w:w="1276" w:type="dxa"/>
            <w:vAlign w:val="center"/>
          </w:tcPr>
          <w:p w14:paraId="60D3D52C" w14:textId="37081EB1" w:rsidR="00323A89" w:rsidRPr="0023147B" w:rsidRDefault="00323A89" w:rsidP="00C63C26">
            <w:pPr>
              <w:jc w:val="right"/>
              <w:rPr>
                <w:rFonts w:asciiTheme="minorHAnsi" w:hAnsiTheme="minorHAnsi" w:cstheme="minorHAnsi"/>
                <w:color w:val="FF0000"/>
                <w:sz w:val="18"/>
                <w:szCs w:val="18"/>
                <w:lang w:eastAsia="en-GB"/>
              </w:rPr>
            </w:pPr>
            <w:r w:rsidRPr="0023147B">
              <w:rPr>
                <w:rFonts w:asciiTheme="minorHAnsi" w:hAnsiTheme="minorHAnsi" w:cstheme="minorHAnsi"/>
                <w:color w:val="000000" w:themeColor="text1"/>
                <w:sz w:val="18"/>
                <w:szCs w:val="18"/>
                <w:lang w:eastAsia="en-GB"/>
              </w:rPr>
              <w:t>0.02</w:t>
            </w:r>
          </w:p>
        </w:tc>
        <w:tc>
          <w:tcPr>
            <w:tcW w:w="1276" w:type="dxa"/>
            <w:shd w:val="clear" w:color="auto" w:fill="auto"/>
            <w:noWrap/>
            <w:vAlign w:val="center"/>
          </w:tcPr>
          <w:p w14:paraId="39A5E2DC" w14:textId="1F4FDED1" w:rsidR="00323A89" w:rsidRPr="0023147B" w:rsidRDefault="00323A89" w:rsidP="00C63C26">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 xml:space="preserve">0.02 </w:t>
            </w:r>
          </w:p>
        </w:tc>
        <w:tc>
          <w:tcPr>
            <w:tcW w:w="1276" w:type="dxa"/>
            <w:vAlign w:val="center"/>
          </w:tcPr>
          <w:p w14:paraId="21AD9C65" w14:textId="780522DF" w:rsidR="00323A89" w:rsidRPr="0023147B" w:rsidRDefault="005D0814" w:rsidP="004877A0">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0.03</w:t>
            </w:r>
          </w:p>
        </w:tc>
        <w:tc>
          <w:tcPr>
            <w:tcW w:w="1276" w:type="dxa"/>
            <w:shd w:val="clear" w:color="auto" w:fill="auto"/>
            <w:noWrap/>
            <w:vAlign w:val="center"/>
            <w:hideMark/>
          </w:tcPr>
          <w:p w14:paraId="2BFCDEA6" w14:textId="6F4E15F7" w:rsidR="00323A89" w:rsidRPr="0023147B" w:rsidRDefault="00323A89">
            <w:pPr>
              <w:jc w:val="right"/>
              <w:rPr>
                <w:rFonts w:asciiTheme="minorHAnsi" w:hAnsiTheme="minorHAnsi" w:cstheme="minorHAnsi"/>
                <w:color w:val="000000" w:themeColor="text1"/>
                <w:sz w:val="18"/>
                <w:szCs w:val="18"/>
                <w:lang w:eastAsia="en-GB"/>
              </w:rPr>
            </w:pPr>
            <w:r w:rsidRPr="0023147B">
              <w:rPr>
                <w:rFonts w:asciiTheme="minorHAnsi" w:hAnsiTheme="minorHAnsi" w:cstheme="minorHAnsi"/>
                <w:color w:val="000000" w:themeColor="text1"/>
                <w:sz w:val="18"/>
                <w:szCs w:val="18"/>
                <w:lang w:eastAsia="en-GB"/>
              </w:rPr>
              <w:t xml:space="preserve">0.02  </w:t>
            </w:r>
          </w:p>
        </w:tc>
      </w:tr>
    </w:tbl>
    <w:p w14:paraId="046E0650" w14:textId="22FFFF31" w:rsidR="00B4194C" w:rsidRDefault="001A4146" w:rsidP="00847A36">
      <w:pPr>
        <w:rPr>
          <w:rFonts w:asciiTheme="minorHAnsi" w:hAnsiTheme="minorHAnsi"/>
        </w:rPr>
      </w:pPr>
      <w:r w:rsidRPr="00D25BE7">
        <w:rPr>
          <w:rFonts w:asciiTheme="minorHAnsi" w:hAnsiTheme="minorHAnsi"/>
        </w:rPr>
        <w:t xml:space="preserve"> </w:t>
      </w:r>
    </w:p>
    <w:p w14:paraId="4E7016A8" w14:textId="77777777" w:rsidR="00B4194C" w:rsidRPr="00D25BE7" w:rsidRDefault="00B4194C" w:rsidP="00847A36">
      <w:pPr>
        <w:rPr>
          <w:rFonts w:asciiTheme="minorHAnsi" w:hAnsiTheme="minorHAnsi"/>
          <w:color w:val="000000" w:themeColor="text1"/>
          <w:lang w:val="en-GB"/>
        </w:rPr>
      </w:pPr>
    </w:p>
    <w:p w14:paraId="1AE43119" w14:textId="52017CEE" w:rsidR="00BF558A" w:rsidRPr="0023147B" w:rsidRDefault="00DE2819">
      <w:pPr>
        <w:pStyle w:val="ListParagraph"/>
        <w:ind w:left="426" w:hanging="426"/>
        <w:rPr>
          <w:rFonts w:asciiTheme="minorHAnsi" w:eastAsia="CenturyGothic" w:hAnsiTheme="minorHAnsi" w:cs="Arial"/>
          <w:szCs w:val="22"/>
        </w:rPr>
      </w:pPr>
      <w:r w:rsidRPr="00243C32">
        <w:rPr>
          <w:rFonts w:asciiTheme="minorHAnsi" w:hAnsiTheme="minorHAnsi" w:cs="Arial"/>
          <w:szCs w:val="22"/>
        </w:rPr>
        <w:t xml:space="preserve">Table </w:t>
      </w:r>
      <w:r w:rsidR="00B83B99" w:rsidRPr="00243C32">
        <w:rPr>
          <w:rFonts w:asciiTheme="minorHAnsi" w:hAnsiTheme="minorHAnsi" w:cs="Arial"/>
          <w:szCs w:val="22"/>
        </w:rPr>
        <w:t>11</w:t>
      </w:r>
      <w:r w:rsidRPr="00B83B99">
        <w:rPr>
          <w:rFonts w:asciiTheme="minorHAnsi" w:hAnsiTheme="minorHAnsi" w:cs="Arial"/>
          <w:szCs w:val="22"/>
        </w:rPr>
        <w:t xml:space="preserve"> highlights</w:t>
      </w:r>
      <w:r w:rsidRPr="000C7A44">
        <w:rPr>
          <w:rFonts w:asciiTheme="minorHAnsi" w:hAnsiTheme="minorHAnsi" w:cs="Arial"/>
          <w:szCs w:val="22"/>
        </w:rPr>
        <w:t xml:space="preserve"> the continuing trend of increasing revenues</w:t>
      </w:r>
      <w:r w:rsidR="00137340" w:rsidRPr="000C7A44">
        <w:rPr>
          <w:rFonts w:asciiTheme="minorHAnsi" w:hAnsiTheme="minorHAnsi" w:cs="Arial"/>
          <w:szCs w:val="22"/>
        </w:rPr>
        <w:t xml:space="preserve"> and relatively sound NOPAT </w:t>
      </w:r>
      <w:r w:rsidR="000C7A44" w:rsidRPr="000C7A44">
        <w:rPr>
          <w:rFonts w:asciiTheme="minorHAnsi" w:hAnsiTheme="minorHAnsi" w:cs="Arial"/>
          <w:szCs w:val="22"/>
        </w:rPr>
        <w:t xml:space="preserve">and Asset </w:t>
      </w:r>
      <w:r w:rsidR="00137340" w:rsidRPr="000C7A44">
        <w:rPr>
          <w:rFonts w:asciiTheme="minorHAnsi" w:hAnsiTheme="minorHAnsi" w:cs="Arial"/>
          <w:szCs w:val="22"/>
        </w:rPr>
        <w:t xml:space="preserve">growth. </w:t>
      </w:r>
      <w:r w:rsidRPr="000C7A44">
        <w:rPr>
          <w:rFonts w:asciiTheme="minorHAnsi" w:hAnsiTheme="minorHAnsi" w:cs="Arial"/>
          <w:szCs w:val="22"/>
        </w:rPr>
        <w:t xml:space="preserve">One factor helping to maintain profitable operations includes pre-payment of accounts by local authorities and domestic customers which together account for around half of all electricity sales. </w:t>
      </w:r>
      <w:r w:rsidR="000C7A44" w:rsidRPr="000C7A44">
        <w:rPr>
          <w:rFonts w:asciiTheme="minorHAnsi" w:hAnsiTheme="minorHAnsi" w:cs="Arial"/>
          <w:szCs w:val="22"/>
        </w:rPr>
        <w:t xml:space="preserve">However, the Directors’ Report in the 2017/18 AFS highlights a decrease of 17.31% in Gross Profits. </w:t>
      </w:r>
    </w:p>
    <w:p w14:paraId="583A0935" w14:textId="7D34108C" w:rsidR="005535C5" w:rsidRPr="000C7A44" w:rsidRDefault="00BF558A">
      <w:pPr>
        <w:pStyle w:val="ListParagraph"/>
        <w:ind w:left="426" w:hanging="426"/>
        <w:rPr>
          <w:rFonts w:asciiTheme="minorHAnsi" w:eastAsia="CenturyGothic" w:hAnsiTheme="minorHAnsi" w:cs="Arial"/>
          <w:szCs w:val="22"/>
        </w:rPr>
      </w:pPr>
      <w:r>
        <w:rPr>
          <w:rFonts w:asciiTheme="minorHAnsi" w:hAnsiTheme="minorHAnsi" w:cs="Arial"/>
          <w:szCs w:val="22"/>
        </w:rPr>
        <w:lastRenderedPageBreak/>
        <w:t>Despite the pre</w:t>
      </w:r>
      <w:r w:rsidR="00732D75">
        <w:rPr>
          <w:rFonts w:asciiTheme="minorHAnsi" w:hAnsiTheme="minorHAnsi" w:cs="Arial"/>
          <w:szCs w:val="22"/>
        </w:rPr>
        <w:t>-</w:t>
      </w:r>
      <w:r>
        <w:rPr>
          <w:rFonts w:asciiTheme="minorHAnsi" w:hAnsiTheme="minorHAnsi" w:cs="Arial"/>
          <w:szCs w:val="22"/>
        </w:rPr>
        <w:t xml:space="preserve">payment of many accounts, the Accounts Receivable days continues to rise </w:t>
      </w:r>
      <w:r w:rsidR="002D475C">
        <w:rPr>
          <w:rFonts w:asciiTheme="minorHAnsi" w:hAnsiTheme="minorHAnsi" w:cs="Arial"/>
          <w:szCs w:val="22"/>
        </w:rPr>
        <w:t xml:space="preserve">from 34 days in 2014/15 to 57 days in 2017/18. This is primarily due to the level of debt due from GOL, its agencies and even other SOEs. </w:t>
      </w:r>
      <w:r w:rsidR="00672F99">
        <w:rPr>
          <w:rFonts w:asciiTheme="minorHAnsi" w:hAnsiTheme="minorHAnsi" w:cs="Arial"/>
          <w:szCs w:val="22"/>
        </w:rPr>
        <w:t>Given the current and future economic climate, this situation is unlikely to improve in the near future.</w:t>
      </w:r>
    </w:p>
    <w:p w14:paraId="7B745A57" w14:textId="1E22A907" w:rsidR="00DE2819" w:rsidRDefault="00833340" w:rsidP="00B11680">
      <w:pPr>
        <w:pStyle w:val="ListParagraph"/>
        <w:ind w:left="426" w:hanging="426"/>
        <w:rPr>
          <w:rFonts w:asciiTheme="minorHAnsi" w:eastAsia="CenturyGothic" w:hAnsiTheme="minorHAnsi" w:cs="Arial"/>
          <w:szCs w:val="22"/>
        </w:rPr>
      </w:pPr>
      <w:r w:rsidRPr="00243C32">
        <w:rPr>
          <w:rFonts w:asciiTheme="minorHAnsi" w:eastAsia="CenturyGothic" w:hAnsiTheme="minorHAnsi" w:cs="Arial"/>
          <w:szCs w:val="22"/>
        </w:rPr>
        <w:t xml:space="preserve">Figure </w:t>
      </w:r>
      <w:r w:rsidR="00B83B99" w:rsidRPr="00243C32">
        <w:rPr>
          <w:rFonts w:asciiTheme="minorHAnsi" w:eastAsia="CenturyGothic" w:hAnsiTheme="minorHAnsi" w:cs="Arial"/>
          <w:szCs w:val="22"/>
        </w:rPr>
        <w:t>13</w:t>
      </w:r>
      <w:r w:rsidRPr="00B83B99">
        <w:rPr>
          <w:rFonts w:asciiTheme="minorHAnsi" w:eastAsia="CenturyGothic" w:hAnsiTheme="minorHAnsi" w:cs="Arial"/>
          <w:szCs w:val="22"/>
        </w:rPr>
        <w:t xml:space="preserve"> below</w:t>
      </w:r>
      <w:r>
        <w:rPr>
          <w:rFonts w:asciiTheme="minorHAnsi" w:eastAsia="CenturyGothic" w:hAnsiTheme="minorHAnsi" w:cs="Arial"/>
          <w:szCs w:val="22"/>
        </w:rPr>
        <w:t xml:space="preserve"> provides a visual representation of </w:t>
      </w:r>
      <w:r w:rsidR="00B70374">
        <w:rPr>
          <w:rFonts w:asciiTheme="minorHAnsi" w:eastAsia="CenturyGothic" w:hAnsiTheme="minorHAnsi" w:cs="Arial"/>
          <w:szCs w:val="22"/>
        </w:rPr>
        <w:t xml:space="preserve">LEC’s performance over the past 4 years. Whilst revenue has grown </w:t>
      </w:r>
      <w:r w:rsidR="00531F95">
        <w:rPr>
          <w:rFonts w:asciiTheme="minorHAnsi" w:eastAsia="CenturyGothic" w:hAnsiTheme="minorHAnsi" w:cs="Arial"/>
          <w:szCs w:val="22"/>
        </w:rPr>
        <w:t>there have been minor declines in each of the performance ratios, though all</w:t>
      </w:r>
      <w:r w:rsidR="00BF558A">
        <w:rPr>
          <w:rFonts w:asciiTheme="minorHAnsi" w:eastAsia="CenturyGothic" w:hAnsiTheme="minorHAnsi" w:cs="Arial"/>
          <w:szCs w:val="22"/>
        </w:rPr>
        <w:t xml:space="preserve"> </w:t>
      </w:r>
      <w:r w:rsidR="00531F95">
        <w:rPr>
          <w:rFonts w:asciiTheme="minorHAnsi" w:eastAsia="CenturyGothic" w:hAnsiTheme="minorHAnsi" w:cs="Arial"/>
          <w:szCs w:val="22"/>
        </w:rPr>
        <w:t xml:space="preserve">are </w:t>
      </w:r>
      <w:r w:rsidR="00BF558A">
        <w:rPr>
          <w:rFonts w:asciiTheme="minorHAnsi" w:eastAsia="CenturyGothic" w:hAnsiTheme="minorHAnsi" w:cs="Arial"/>
          <w:szCs w:val="22"/>
        </w:rPr>
        <w:t>well above the 2015/16 rates, which were the lowest in recent years.</w:t>
      </w:r>
    </w:p>
    <w:p w14:paraId="1CC88CC3" w14:textId="36F08D03" w:rsidR="00B83B99" w:rsidRPr="00243C32" w:rsidRDefault="00B83B99" w:rsidP="00B11680">
      <w:pPr>
        <w:pStyle w:val="ListParagraph"/>
        <w:ind w:left="426" w:hanging="426"/>
        <w:rPr>
          <w:rFonts w:asciiTheme="minorHAnsi" w:eastAsia="CenturyGothic" w:hAnsiTheme="minorHAnsi" w:cs="Arial"/>
          <w:b/>
          <w:szCs w:val="22"/>
        </w:rPr>
      </w:pPr>
      <w:r w:rsidRPr="00243C32">
        <w:rPr>
          <w:rFonts w:asciiTheme="minorHAnsi" w:eastAsia="CenturyGothic" w:hAnsiTheme="minorHAnsi" w:cs="Arial"/>
          <w:b/>
          <w:szCs w:val="22"/>
        </w:rPr>
        <w:t xml:space="preserve">Figure 13: LEC </w:t>
      </w:r>
      <w:proofErr w:type="gramStart"/>
      <w:r w:rsidRPr="00243C32">
        <w:rPr>
          <w:rFonts w:asciiTheme="minorHAnsi" w:eastAsia="CenturyGothic" w:hAnsiTheme="minorHAnsi" w:cs="Arial"/>
          <w:b/>
          <w:szCs w:val="22"/>
        </w:rPr>
        <w:t xml:space="preserve">Returns </w:t>
      </w:r>
      <w:r w:rsidR="00CE454C">
        <w:rPr>
          <w:rFonts w:asciiTheme="minorHAnsi" w:eastAsia="CenturyGothic" w:hAnsiTheme="minorHAnsi" w:cs="Arial"/>
          <w:b/>
          <w:szCs w:val="22"/>
        </w:rPr>
        <w:t xml:space="preserve"> 2014</w:t>
      </w:r>
      <w:proofErr w:type="gramEnd"/>
      <w:r w:rsidR="00CE454C">
        <w:rPr>
          <w:rFonts w:asciiTheme="minorHAnsi" w:eastAsia="CenturyGothic" w:hAnsiTheme="minorHAnsi" w:cs="Arial"/>
          <w:b/>
          <w:szCs w:val="22"/>
        </w:rPr>
        <w:t>/15 to 2017/18</w:t>
      </w:r>
    </w:p>
    <w:p w14:paraId="2382CE75" w14:textId="0D1E0188" w:rsidR="0082278E" w:rsidRDefault="0000094C" w:rsidP="00D25BE7">
      <w:pPr>
        <w:rPr>
          <w:rFonts w:asciiTheme="minorHAnsi" w:eastAsia="CenturyGothic" w:hAnsiTheme="minorHAnsi" w:cs="Arial"/>
          <w:szCs w:val="22"/>
        </w:rPr>
      </w:pPr>
      <w:r>
        <w:rPr>
          <w:noProof/>
        </w:rPr>
        <w:drawing>
          <wp:inline distT="0" distB="0" distL="0" distR="0" wp14:anchorId="532D7AF3" wp14:editId="6AF200E4">
            <wp:extent cx="4886960" cy="2827020"/>
            <wp:effectExtent l="25400" t="25400" r="91440" b="9398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3836D15" w14:textId="36A872F0" w:rsidR="0082278E" w:rsidRPr="004140E8" w:rsidRDefault="00CE454C" w:rsidP="004140E8">
      <w:pPr>
        <w:ind w:firstLine="426"/>
        <w:rPr>
          <w:rFonts w:asciiTheme="minorHAnsi" w:eastAsia="CenturyGothic" w:hAnsiTheme="minorHAnsi" w:cs="Arial"/>
          <w:i/>
          <w:szCs w:val="22"/>
        </w:rPr>
      </w:pPr>
      <w:r w:rsidRPr="004140E8">
        <w:rPr>
          <w:rFonts w:asciiTheme="minorHAnsi" w:hAnsiTheme="minorHAnsi" w:cs="Arial"/>
          <w:bCs/>
          <w:i/>
          <w:color w:val="000000"/>
          <w:sz w:val="20"/>
        </w:rPr>
        <w:t>Source: LEC AFS Various Years</w:t>
      </w:r>
    </w:p>
    <w:p w14:paraId="43FCA1FC" w14:textId="77777777" w:rsidR="0082278E" w:rsidRDefault="0082278E" w:rsidP="00D25BE7">
      <w:pPr>
        <w:rPr>
          <w:rFonts w:asciiTheme="minorHAnsi" w:eastAsia="CenturyGothic" w:hAnsiTheme="minorHAnsi" w:cs="Arial"/>
          <w:szCs w:val="22"/>
        </w:rPr>
      </w:pPr>
    </w:p>
    <w:p w14:paraId="1FFC191A" w14:textId="77777777" w:rsidR="0082278E" w:rsidRPr="00705F8C" w:rsidRDefault="0082278E">
      <w:pPr>
        <w:rPr>
          <w:rFonts w:eastAsia="CenturyGothic"/>
        </w:rPr>
      </w:pPr>
    </w:p>
    <w:p w14:paraId="6F82D38F" w14:textId="71E9AE20" w:rsidR="00672F99" w:rsidRPr="00DD2879" w:rsidRDefault="00672F99" w:rsidP="00672F99">
      <w:pPr>
        <w:pStyle w:val="ListParagraph"/>
        <w:ind w:left="426" w:hanging="426"/>
        <w:rPr>
          <w:rFonts w:asciiTheme="minorHAnsi" w:hAnsiTheme="minorHAnsi"/>
          <w:lang w:val="en-GB"/>
        </w:rPr>
      </w:pPr>
      <w:r w:rsidRPr="00DD2879">
        <w:rPr>
          <w:rFonts w:asciiTheme="minorHAnsi" w:hAnsiTheme="minorHAnsi"/>
          <w:lang w:val="en-GB"/>
        </w:rPr>
        <w:t>The performance trend for LEC is generally positive</w:t>
      </w:r>
      <w:r>
        <w:rPr>
          <w:rFonts w:asciiTheme="minorHAnsi" w:hAnsiTheme="minorHAnsi"/>
          <w:lang w:val="en-GB"/>
        </w:rPr>
        <w:t>.</w:t>
      </w:r>
      <w:r w:rsidRPr="00DD2879">
        <w:rPr>
          <w:rFonts w:asciiTheme="minorHAnsi" w:hAnsiTheme="minorHAnsi"/>
          <w:lang w:val="en-GB"/>
        </w:rPr>
        <w:t xml:space="preserve"> </w:t>
      </w:r>
      <w:r>
        <w:rPr>
          <w:rFonts w:asciiTheme="minorHAnsi" w:hAnsiTheme="minorHAnsi"/>
          <w:lang w:val="en-GB"/>
        </w:rPr>
        <w:t>S</w:t>
      </w:r>
      <w:proofErr w:type="spellStart"/>
      <w:r>
        <w:rPr>
          <w:rFonts w:asciiTheme="minorHAnsi" w:eastAsia="CenturyGothic" w:hAnsiTheme="minorHAnsi" w:cs="Arial"/>
          <w:szCs w:val="22"/>
        </w:rPr>
        <w:t>ince</w:t>
      </w:r>
      <w:proofErr w:type="spellEnd"/>
      <w:r>
        <w:rPr>
          <w:rFonts w:asciiTheme="minorHAnsi" w:eastAsia="CenturyGothic" w:hAnsiTheme="minorHAnsi" w:cs="Arial"/>
          <w:szCs w:val="22"/>
        </w:rPr>
        <w:t xml:space="preserve"> 2014/2015 Revenue has increased by 65% and NOPAT has increased by 86%. </w:t>
      </w:r>
      <w:r>
        <w:rPr>
          <w:rFonts w:asciiTheme="minorHAnsi" w:hAnsiTheme="minorHAnsi"/>
          <w:lang w:val="en-GB"/>
        </w:rPr>
        <w:t>However,</w:t>
      </w:r>
      <w:r w:rsidR="00FA1FEE">
        <w:rPr>
          <w:rFonts w:asciiTheme="minorHAnsi" w:hAnsiTheme="minorHAnsi"/>
          <w:lang w:val="en-GB"/>
        </w:rPr>
        <w:t xml:space="preserve"> as can be seen </w:t>
      </w:r>
      <w:r w:rsidR="00FA1FEE" w:rsidRPr="00B65494">
        <w:rPr>
          <w:rFonts w:asciiTheme="minorHAnsi" w:hAnsiTheme="minorHAnsi"/>
          <w:lang w:val="en-GB"/>
        </w:rPr>
        <w:t xml:space="preserve">in Fig </w:t>
      </w:r>
      <w:r w:rsidR="004D0D97">
        <w:rPr>
          <w:rFonts w:asciiTheme="minorHAnsi" w:hAnsiTheme="minorHAnsi"/>
          <w:lang w:val="en-GB"/>
        </w:rPr>
        <w:t xml:space="preserve">14 </w:t>
      </w:r>
      <w:r w:rsidRPr="00B65494">
        <w:rPr>
          <w:rFonts w:asciiTheme="minorHAnsi" w:hAnsiTheme="minorHAnsi"/>
          <w:lang w:val="en-GB"/>
        </w:rPr>
        <w:t>changes</w:t>
      </w:r>
      <w:r>
        <w:rPr>
          <w:rFonts w:asciiTheme="minorHAnsi" w:hAnsiTheme="minorHAnsi"/>
          <w:lang w:val="en-GB"/>
        </w:rPr>
        <w:t xml:space="preserve"> in both year-on-year R</w:t>
      </w:r>
      <w:r w:rsidRPr="00DD2879">
        <w:rPr>
          <w:rFonts w:asciiTheme="minorHAnsi" w:hAnsiTheme="minorHAnsi"/>
          <w:lang w:val="en-GB"/>
        </w:rPr>
        <w:t xml:space="preserve">evenue </w:t>
      </w:r>
      <w:r>
        <w:rPr>
          <w:rFonts w:asciiTheme="minorHAnsi" w:hAnsiTheme="minorHAnsi"/>
          <w:lang w:val="en-GB"/>
        </w:rPr>
        <w:t xml:space="preserve">and NOPAT are erratic. Annual Revenue </w:t>
      </w:r>
      <w:r w:rsidRPr="00DD2879">
        <w:rPr>
          <w:rFonts w:asciiTheme="minorHAnsi" w:hAnsiTheme="minorHAnsi"/>
          <w:lang w:val="en-GB"/>
        </w:rPr>
        <w:t xml:space="preserve">growth </w:t>
      </w:r>
      <w:r>
        <w:rPr>
          <w:rFonts w:asciiTheme="minorHAnsi" w:hAnsiTheme="minorHAnsi"/>
          <w:lang w:val="en-GB"/>
        </w:rPr>
        <w:t>has been at between 5.42% and 23.35% per year, whilst annual changes to NOPAT have been between -25.37% and 66.38%.</w:t>
      </w:r>
      <w:r w:rsidRPr="00DD2879">
        <w:rPr>
          <w:rFonts w:asciiTheme="minorHAnsi" w:hAnsiTheme="minorHAnsi"/>
          <w:lang w:val="en-GB"/>
        </w:rPr>
        <w:t xml:space="preserve"> Revenue growth is the more consistent and reliable measure of growth for an enterprise such as LEC, however, it must monitor costs and seek full transparency and compensation for all social and non-commercial operational activity.</w:t>
      </w:r>
    </w:p>
    <w:p w14:paraId="255BC573" w14:textId="77777777" w:rsidR="00C043AD" w:rsidRDefault="00C043AD" w:rsidP="0023147B">
      <w:pPr>
        <w:rPr>
          <w:rFonts w:eastAsia="CenturyGothic" w:cs="Arial"/>
          <w:szCs w:val="22"/>
        </w:rPr>
      </w:pPr>
    </w:p>
    <w:p w14:paraId="2CDDAA51" w14:textId="54B83240" w:rsidR="00C043AD" w:rsidRPr="004140E8" w:rsidRDefault="00960D61" w:rsidP="00062B5C">
      <w:pPr>
        <w:pStyle w:val="ListParagraph"/>
        <w:ind w:left="426" w:hanging="426"/>
        <w:rPr>
          <w:rFonts w:asciiTheme="minorHAnsi" w:eastAsia="CenturyGothic" w:hAnsiTheme="minorHAnsi" w:cs="Arial"/>
          <w:b/>
          <w:sz w:val="20"/>
        </w:rPr>
      </w:pPr>
      <w:r w:rsidRPr="004140E8">
        <w:rPr>
          <w:rFonts w:asciiTheme="minorHAnsi" w:eastAsia="CenturyGothic" w:hAnsiTheme="minorHAnsi" w:cs="Arial"/>
          <w:b/>
          <w:sz w:val="20"/>
        </w:rPr>
        <w:t xml:space="preserve">Figure </w:t>
      </w:r>
      <w:r w:rsidR="00B65494" w:rsidRPr="004140E8">
        <w:rPr>
          <w:rFonts w:asciiTheme="minorHAnsi" w:eastAsia="CenturyGothic" w:hAnsiTheme="minorHAnsi" w:cs="Arial"/>
          <w:b/>
          <w:sz w:val="20"/>
        </w:rPr>
        <w:t>14</w:t>
      </w:r>
      <w:r w:rsidR="00C249FD" w:rsidRPr="004140E8">
        <w:rPr>
          <w:rFonts w:asciiTheme="minorHAnsi" w:eastAsia="CenturyGothic" w:hAnsiTheme="minorHAnsi" w:cs="Arial"/>
          <w:b/>
          <w:sz w:val="20"/>
        </w:rPr>
        <w:t>: LEC Year</w:t>
      </w:r>
      <w:r w:rsidR="00FD154B" w:rsidRPr="004140E8">
        <w:rPr>
          <w:rFonts w:asciiTheme="minorHAnsi" w:eastAsia="CenturyGothic" w:hAnsiTheme="minorHAnsi" w:cs="Arial"/>
          <w:b/>
          <w:sz w:val="20"/>
        </w:rPr>
        <w:t xml:space="preserve"> </w:t>
      </w:r>
      <w:r w:rsidR="00C249FD" w:rsidRPr="004140E8">
        <w:rPr>
          <w:rFonts w:asciiTheme="minorHAnsi" w:eastAsia="CenturyGothic" w:hAnsiTheme="minorHAnsi" w:cs="Arial"/>
          <w:b/>
          <w:sz w:val="20"/>
        </w:rPr>
        <w:t>on Year % Changes to Revenue and NOPAT</w:t>
      </w:r>
    </w:p>
    <w:p w14:paraId="3598C722" w14:textId="672B0737" w:rsidR="00960D61" w:rsidRDefault="006561F7" w:rsidP="00D25BE7">
      <w:pPr>
        <w:rPr>
          <w:rFonts w:asciiTheme="minorHAnsi" w:eastAsia="CenturyGothic" w:hAnsiTheme="minorHAnsi" w:cs="Arial"/>
          <w:szCs w:val="22"/>
        </w:rPr>
      </w:pPr>
      <w:r>
        <w:rPr>
          <w:noProof/>
        </w:rPr>
        <w:lastRenderedPageBreak/>
        <w:drawing>
          <wp:anchor distT="0" distB="0" distL="114300" distR="114300" simplePos="0" relativeHeight="251662336" behindDoc="0" locked="0" layoutInCell="1" allowOverlap="1" wp14:anchorId="12756EA2" wp14:editId="5122FC58">
            <wp:simplePos x="0" y="0"/>
            <wp:positionH relativeFrom="column">
              <wp:align>center</wp:align>
            </wp:positionH>
            <wp:positionV relativeFrom="paragraph">
              <wp:posOffset>37465</wp:posOffset>
            </wp:positionV>
            <wp:extent cx="4107180" cy="2857500"/>
            <wp:effectExtent l="25400" t="25400" r="109220" b="88900"/>
            <wp:wrapSquare wrapText="bothSides"/>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0215AEFE" w14:textId="77777777" w:rsidR="00960D61" w:rsidRDefault="00960D61" w:rsidP="00D25BE7">
      <w:pPr>
        <w:rPr>
          <w:rFonts w:asciiTheme="minorHAnsi" w:eastAsia="CenturyGothic" w:hAnsiTheme="minorHAnsi" w:cs="Arial"/>
          <w:szCs w:val="22"/>
        </w:rPr>
      </w:pPr>
    </w:p>
    <w:p w14:paraId="14E6FC3A" w14:textId="77777777" w:rsidR="00960D61" w:rsidRDefault="00960D61" w:rsidP="00D25BE7">
      <w:pPr>
        <w:rPr>
          <w:rFonts w:asciiTheme="minorHAnsi" w:eastAsia="CenturyGothic" w:hAnsiTheme="minorHAnsi" w:cs="Arial"/>
          <w:szCs w:val="22"/>
        </w:rPr>
      </w:pPr>
    </w:p>
    <w:p w14:paraId="2C8E8732" w14:textId="77777777" w:rsidR="0079376D" w:rsidRDefault="0079376D" w:rsidP="00D25BE7">
      <w:pPr>
        <w:rPr>
          <w:rFonts w:asciiTheme="minorHAnsi" w:eastAsia="CenturyGothic" w:hAnsiTheme="minorHAnsi" w:cs="Arial"/>
          <w:szCs w:val="22"/>
        </w:rPr>
      </w:pPr>
    </w:p>
    <w:p w14:paraId="72E55B6F" w14:textId="77777777" w:rsidR="0079376D" w:rsidRDefault="0079376D" w:rsidP="00D25BE7">
      <w:pPr>
        <w:rPr>
          <w:rFonts w:asciiTheme="minorHAnsi" w:eastAsia="CenturyGothic" w:hAnsiTheme="minorHAnsi" w:cs="Arial"/>
          <w:szCs w:val="22"/>
        </w:rPr>
      </w:pPr>
    </w:p>
    <w:p w14:paraId="63F19C18" w14:textId="77777777" w:rsidR="0079376D" w:rsidRDefault="0079376D" w:rsidP="00D25BE7">
      <w:pPr>
        <w:rPr>
          <w:rFonts w:asciiTheme="minorHAnsi" w:eastAsia="CenturyGothic" w:hAnsiTheme="minorHAnsi" w:cs="Arial"/>
          <w:szCs w:val="22"/>
        </w:rPr>
      </w:pPr>
    </w:p>
    <w:p w14:paraId="46FE3EC7" w14:textId="77777777" w:rsidR="0079376D" w:rsidRDefault="0079376D" w:rsidP="00D25BE7">
      <w:pPr>
        <w:rPr>
          <w:rFonts w:asciiTheme="minorHAnsi" w:eastAsia="CenturyGothic" w:hAnsiTheme="minorHAnsi" w:cs="Arial"/>
          <w:szCs w:val="22"/>
        </w:rPr>
      </w:pPr>
    </w:p>
    <w:p w14:paraId="22BB2E03" w14:textId="77777777" w:rsidR="0079376D" w:rsidRDefault="0079376D" w:rsidP="00D25BE7">
      <w:pPr>
        <w:rPr>
          <w:rFonts w:asciiTheme="minorHAnsi" w:eastAsia="CenturyGothic" w:hAnsiTheme="minorHAnsi" w:cs="Arial"/>
          <w:szCs w:val="22"/>
        </w:rPr>
      </w:pPr>
    </w:p>
    <w:p w14:paraId="01E0FB24" w14:textId="77777777" w:rsidR="0079376D" w:rsidRDefault="0079376D" w:rsidP="00D25BE7">
      <w:pPr>
        <w:rPr>
          <w:rFonts w:asciiTheme="minorHAnsi" w:eastAsia="CenturyGothic" w:hAnsiTheme="minorHAnsi" w:cs="Arial"/>
          <w:szCs w:val="22"/>
        </w:rPr>
      </w:pPr>
    </w:p>
    <w:p w14:paraId="2F0F4396" w14:textId="77777777" w:rsidR="0079376D" w:rsidRDefault="0079376D" w:rsidP="00D25BE7">
      <w:pPr>
        <w:rPr>
          <w:rFonts w:asciiTheme="minorHAnsi" w:eastAsia="CenturyGothic" w:hAnsiTheme="minorHAnsi" w:cs="Arial"/>
          <w:szCs w:val="22"/>
        </w:rPr>
      </w:pPr>
    </w:p>
    <w:p w14:paraId="77A08B1C" w14:textId="77777777" w:rsidR="0079376D" w:rsidRDefault="0079376D" w:rsidP="00D25BE7">
      <w:pPr>
        <w:rPr>
          <w:rFonts w:asciiTheme="minorHAnsi" w:eastAsia="CenturyGothic" w:hAnsiTheme="minorHAnsi" w:cs="Arial"/>
          <w:szCs w:val="22"/>
        </w:rPr>
      </w:pPr>
    </w:p>
    <w:p w14:paraId="6505BC29" w14:textId="77777777" w:rsidR="0079376D" w:rsidRDefault="0079376D" w:rsidP="00D25BE7">
      <w:pPr>
        <w:rPr>
          <w:rFonts w:asciiTheme="minorHAnsi" w:eastAsia="CenturyGothic" w:hAnsiTheme="minorHAnsi" w:cs="Arial"/>
          <w:szCs w:val="22"/>
        </w:rPr>
      </w:pPr>
    </w:p>
    <w:p w14:paraId="28106F00" w14:textId="77777777" w:rsidR="0079376D" w:rsidRDefault="0079376D" w:rsidP="00D25BE7">
      <w:pPr>
        <w:rPr>
          <w:rFonts w:asciiTheme="minorHAnsi" w:eastAsia="CenturyGothic" w:hAnsiTheme="minorHAnsi" w:cs="Arial"/>
          <w:szCs w:val="22"/>
        </w:rPr>
      </w:pPr>
    </w:p>
    <w:p w14:paraId="197F2161" w14:textId="77777777" w:rsidR="0079376D" w:rsidRDefault="0079376D" w:rsidP="00D25BE7">
      <w:pPr>
        <w:rPr>
          <w:rFonts w:asciiTheme="minorHAnsi" w:eastAsia="CenturyGothic" w:hAnsiTheme="minorHAnsi" w:cs="Arial"/>
          <w:szCs w:val="22"/>
        </w:rPr>
      </w:pPr>
    </w:p>
    <w:p w14:paraId="3D303991" w14:textId="77777777" w:rsidR="0079376D" w:rsidRDefault="0079376D" w:rsidP="00D25BE7">
      <w:pPr>
        <w:rPr>
          <w:rFonts w:asciiTheme="minorHAnsi" w:eastAsia="CenturyGothic" w:hAnsiTheme="minorHAnsi" w:cs="Arial"/>
          <w:szCs w:val="22"/>
        </w:rPr>
      </w:pPr>
    </w:p>
    <w:p w14:paraId="7E1D3368" w14:textId="77777777" w:rsidR="0079376D" w:rsidRPr="00D25BE7" w:rsidRDefault="0079376D" w:rsidP="00D25BE7">
      <w:pPr>
        <w:rPr>
          <w:rFonts w:asciiTheme="minorHAnsi" w:eastAsia="CenturyGothic" w:hAnsiTheme="minorHAnsi" w:cs="Arial"/>
          <w:szCs w:val="22"/>
        </w:rPr>
      </w:pPr>
    </w:p>
    <w:p w14:paraId="2B663DAD" w14:textId="77777777" w:rsidR="007A6213" w:rsidRPr="0023147B" w:rsidRDefault="007A6213" w:rsidP="0023147B">
      <w:pPr>
        <w:rPr>
          <w:rFonts w:asciiTheme="minorHAnsi" w:hAnsiTheme="minorHAnsi"/>
          <w:lang w:val="en-GB"/>
        </w:rPr>
      </w:pPr>
    </w:p>
    <w:p w14:paraId="09E44813" w14:textId="77777777" w:rsidR="0079376D" w:rsidRPr="0023147B" w:rsidRDefault="0079376D" w:rsidP="0023147B">
      <w:pPr>
        <w:rPr>
          <w:rFonts w:asciiTheme="minorHAnsi" w:hAnsiTheme="minorHAnsi"/>
          <w:lang w:val="en-GB"/>
        </w:rPr>
      </w:pPr>
    </w:p>
    <w:p w14:paraId="362461D1" w14:textId="416AA958" w:rsidR="004D0D97" w:rsidRPr="004140E8" w:rsidRDefault="004D0D97" w:rsidP="004140E8">
      <w:pPr>
        <w:ind w:firstLine="426"/>
        <w:rPr>
          <w:rFonts w:asciiTheme="minorHAnsi" w:eastAsia="CenturyGothic" w:hAnsiTheme="minorHAnsi" w:cs="Arial"/>
          <w:i/>
          <w:szCs w:val="22"/>
        </w:rPr>
      </w:pPr>
      <w:r w:rsidRPr="00D8583C">
        <w:rPr>
          <w:rFonts w:asciiTheme="minorHAnsi" w:hAnsiTheme="minorHAnsi" w:cs="Arial"/>
          <w:bCs/>
          <w:i/>
          <w:color w:val="000000"/>
          <w:sz w:val="20"/>
        </w:rPr>
        <w:t>Source: LEC AFS Various Years</w:t>
      </w:r>
    </w:p>
    <w:p w14:paraId="5EDBEBC0" w14:textId="77777777" w:rsidR="00960D61" w:rsidRPr="0023147B" w:rsidRDefault="00960D61" w:rsidP="0023147B">
      <w:pPr>
        <w:rPr>
          <w:rFonts w:asciiTheme="minorHAnsi" w:eastAsia="CenturyGothic" w:hAnsiTheme="minorHAnsi" w:cs="Arial"/>
          <w:szCs w:val="22"/>
        </w:rPr>
      </w:pPr>
    </w:p>
    <w:p w14:paraId="4EDB9DFF" w14:textId="396C9805" w:rsidR="00C043AD" w:rsidRPr="004140E8" w:rsidRDefault="00C043AD" w:rsidP="00062B5C">
      <w:pPr>
        <w:pStyle w:val="ListParagraph"/>
        <w:ind w:left="426" w:hanging="426"/>
        <w:rPr>
          <w:rFonts w:asciiTheme="minorHAnsi" w:eastAsia="CenturyGothic" w:hAnsiTheme="minorHAnsi" w:cs="Arial"/>
          <w:b/>
          <w:sz w:val="20"/>
        </w:rPr>
      </w:pPr>
      <w:r w:rsidRPr="004140E8">
        <w:rPr>
          <w:rFonts w:asciiTheme="minorHAnsi" w:eastAsia="CenturyGothic" w:hAnsiTheme="minorHAnsi" w:cs="Arial"/>
          <w:b/>
          <w:sz w:val="20"/>
        </w:rPr>
        <w:t xml:space="preserve">Figure </w:t>
      </w:r>
      <w:r w:rsidR="00375D1E" w:rsidRPr="004140E8">
        <w:rPr>
          <w:rFonts w:asciiTheme="minorHAnsi" w:eastAsia="CenturyGothic" w:hAnsiTheme="minorHAnsi" w:cs="Arial"/>
          <w:b/>
          <w:sz w:val="20"/>
        </w:rPr>
        <w:t>15</w:t>
      </w:r>
      <w:r w:rsidR="0045462F" w:rsidRPr="004140E8">
        <w:rPr>
          <w:rFonts w:asciiTheme="minorHAnsi" w:eastAsia="CenturyGothic" w:hAnsiTheme="minorHAnsi" w:cs="Arial"/>
          <w:b/>
          <w:sz w:val="20"/>
        </w:rPr>
        <w:t xml:space="preserve"> LEC: Equity v Assets</w:t>
      </w:r>
    </w:p>
    <w:p w14:paraId="7BA938D6" w14:textId="7CAC47B9" w:rsidR="00C043AD" w:rsidRDefault="004560D2" w:rsidP="00D25BE7">
      <w:pPr>
        <w:rPr>
          <w:rFonts w:asciiTheme="minorHAnsi" w:eastAsia="CenturyGothic" w:hAnsiTheme="minorHAnsi" w:cs="Arial"/>
          <w:szCs w:val="22"/>
        </w:rPr>
      </w:pPr>
      <w:r>
        <w:rPr>
          <w:noProof/>
        </w:rPr>
        <w:drawing>
          <wp:anchor distT="0" distB="0" distL="114300" distR="114300" simplePos="0" relativeHeight="251663360" behindDoc="0" locked="0" layoutInCell="1" allowOverlap="1" wp14:anchorId="52AAB5CC" wp14:editId="708CE92D">
            <wp:simplePos x="0" y="0"/>
            <wp:positionH relativeFrom="column">
              <wp:align>center</wp:align>
            </wp:positionH>
            <wp:positionV relativeFrom="paragraph">
              <wp:posOffset>4445</wp:posOffset>
            </wp:positionV>
            <wp:extent cx="4572000" cy="2743200"/>
            <wp:effectExtent l="25400" t="25400" r="101600" b="101600"/>
            <wp:wrapSquare wrapText="bothSides"/>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14:paraId="5A77C5D7" w14:textId="77777777" w:rsidR="00C043AD" w:rsidRDefault="00C043AD" w:rsidP="00D25BE7">
      <w:pPr>
        <w:rPr>
          <w:rFonts w:asciiTheme="minorHAnsi" w:eastAsia="CenturyGothic" w:hAnsiTheme="minorHAnsi" w:cs="Arial"/>
          <w:szCs w:val="22"/>
        </w:rPr>
      </w:pPr>
    </w:p>
    <w:p w14:paraId="5A05D26F" w14:textId="77777777" w:rsidR="00EF03AE" w:rsidRDefault="00EF03AE" w:rsidP="00D25BE7">
      <w:pPr>
        <w:rPr>
          <w:rFonts w:asciiTheme="minorHAnsi" w:eastAsia="CenturyGothic" w:hAnsiTheme="minorHAnsi" w:cs="Arial"/>
          <w:szCs w:val="22"/>
        </w:rPr>
      </w:pPr>
    </w:p>
    <w:p w14:paraId="2C66C14B" w14:textId="77777777" w:rsidR="00EF03AE" w:rsidRDefault="00EF03AE" w:rsidP="00D25BE7">
      <w:pPr>
        <w:rPr>
          <w:rFonts w:asciiTheme="minorHAnsi" w:eastAsia="CenturyGothic" w:hAnsiTheme="minorHAnsi" w:cs="Arial"/>
          <w:szCs w:val="22"/>
        </w:rPr>
      </w:pPr>
    </w:p>
    <w:p w14:paraId="7D123355" w14:textId="77777777" w:rsidR="00EF03AE" w:rsidRDefault="00EF03AE" w:rsidP="00D25BE7">
      <w:pPr>
        <w:rPr>
          <w:rFonts w:asciiTheme="minorHAnsi" w:eastAsia="CenturyGothic" w:hAnsiTheme="minorHAnsi" w:cs="Arial"/>
          <w:szCs w:val="22"/>
        </w:rPr>
      </w:pPr>
    </w:p>
    <w:p w14:paraId="3E4842F5" w14:textId="77777777" w:rsidR="00EF03AE" w:rsidRDefault="00EF03AE" w:rsidP="00D25BE7">
      <w:pPr>
        <w:rPr>
          <w:rFonts w:asciiTheme="minorHAnsi" w:eastAsia="CenturyGothic" w:hAnsiTheme="minorHAnsi" w:cs="Arial"/>
          <w:szCs w:val="22"/>
        </w:rPr>
      </w:pPr>
    </w:p>
    <w:p w14:paraId="753D8D3D" w14:textId="77777777" w:rsidR="00EF03AE" w:rsidRDefault="00EF03AE" w:rsidP="00D25BE7">
      <w:pPr>
        <w:rPr>
          <w:rFonts w:asciiTheme="minorHAnsi" w:eastAsia="CenturyGothic" w:hAnsiTheme="minorHAnsi" w:cs="Arial"/>
          <w:szCs w:val="22"/>
        </w:rPr>
      </w:pPr>
    </w:p>
    <w:p w14:paraId="55604E00" w14:textId="77777777" w:rsidR="00EF03AE" w:rsidRDefault="00EF03AE" w:rsidP="00D25BE7">
      <w:pPr>
        <w:rPr>
          <w:rFonts w:asciiTheme="minorHAnsi" w:eastAsia="CenturyGothic" w:hAnsiTheme="minorHAnsi" w:cs="Arial"/>
          <w:szCs w:val="22"/>
        </w:rPr>
      </w:pPr>
    </w:p>
    <w:p w14:paraId="6A9D451E" w14:textId="77777777" w:rsidR="00EF03AE" w:rsidRDefault="00EF03AE" w:rsidP="00D25BE7">
      <w:pPr>
        <w:rPr>
          <w:rFonts w:asciiTheme="minorHAnsi" w:eastAsia="CenturyGothic" w:hAnsiTheme="minorHAnsi" w:cs="Arial"/>
          <w:szCs w:val="22"/>
        </w:rPr>
      </w:pPr>
    </w:p>
    <w:p w14:paraId="2E71780D" w14:textId="77777777" w:rsidR="00EF03AE" w:rsidRDefault="00EF03AE" w:rsidP="00D25BE7">
      <w:pPr>
        <w:rPr>
          <w:rFonts w:asciiTheme="minorHAnsi" w:eastAsia="CenturyGothic" w:hAnsiTheme="minorHAnsi" w:cs="Arial"/>
          <w:szCs w:val="22"/>
        </w:rPr>
      </w:pPr>
    </w:p>
    <w:p w14:paraId="521750A1" w14:textId="77777777" w:rsidR="00EF03AE" w:rsidRDefault="00EF03AE" w:rsidP="00D25BE7">
      <w:pPr>
        <w:rPr>
          <w:rFonts w:asciiTheme="minorHAnsi" w:eastAsia="CenturyGothic" w:hAnsiTheme="minorHAnsi" w:cs="Arial"/>
          <w:szCs w:val="22"/>
        </w:rPr>
      </w:pPr>
    </w:p>
    <w:p w14:paraId="637D1C62" w14:textId="77777777" w:rsidR="00EF03AE" w:rsidRDefault="00EF03AE" w:rsidP="00D25BE7">
      <w:pPr>
        <w:rPr>
          <w:rFonts w:asciiTheme="minorHAnsi" w:eastAsia="CenturyGothic" w:hAnsiTheme="minorHAnsi" w:cs="Arial"/>
          <w:szCs w:val="22"/>
        </w:rPr>
      </w:pPr>
    </w:p>
    <w:p w14:paraId="51B6CB05" w14:textId="77777777" w:rsidR="00EF03AE" w:rsidRDefault="00EF03AE" w:rsidP="00D25BE7">
      <w:pPr>
        <w:rPr>
          <w:rFonts w:asciiTheme="minorHAnsi" w:eastAsia="CenturyGothic" w:hAnsiTheme="minorHAnsi" w:cs="Arial"/>
          <w:szCs w:val="22"/>
        </w:rPr>
      </w:pPr>
    </w:p>
    <w:p w14:paraId="6C975C79" w14:textId="77777777" w:rsidR="00EF03AE" w:rsidRDefault="00EF03AE" w:rsidP="00D25BE7">
      <w:pPr>
        <w:rPr>
          <w:rFonts w:asciiTheme="minorHAnsi" w:eastAsia="CenturyGothic" w:hAnsiTheme="minorHAnsi" w:cs="Arial"/>
          <w:szCs w:val="22"/>
        </w:rPr>
      </w:pPr>
    </w:p>
    <w:p w14:paraId="05C3901D" w14:textId="77777777" w:rsidR="00EF03AE" w:rsidRDefault="00EF03AE" w:rsidP="00D25BE7">
      <w:pPr>
        <w:rPr>
          <w:rFonts w:asciiTheme="minorHAnsi" w:eastAsia="CenturyGothic" w:hAnsiTheme="minorHAnsi" w:cs="Arial"/>
          <w:szCs w:val="22"/>
        </w:rPr>
      </w:pPr>
    </w:p>
    <w:p w14:paraId="3A7C4948" w14:textId="77777777" w:rsidR="00EF03AE" w:rsidRDefault="00EF03AE" w:rsidP="00D25BE7">
      <w:pPr>
        <w:rPr>
          <w:rFonts w:asciiTheme="minorHAnsi" w:eastAsia="CenturyGothic" w:hAnsiTheme="minorHAnsi" w:cs="Arial"/>
          <w:szCs w:val="22"/>
        </w:rPr>
      </w:pPr>
    </w:p>
    <w:p w14:paraId="4D141118" w14:textId="77777777" w:rsidR="00EF03AE" w:rsidRDefault="00EF03AE" w:rsidP="00D25BE7">
      <w:pPr>
        <w:rPr>
          <w:rFonts w:asciiTheme="minorHAnsi" w:eastAsia="CenturyGothic" w:hAnsiTheme="minorHAnsi" w:cs="Arial"/>
          <w:szCs w:val="22"/>
        </w:rPr>
      </w:pPr>
    </w:p>
    <w:p w14:paraId="39AE4FE6" w14:textId="77777777" w:rsidR="00EF03AE" w:rsidRPr="00D8583C" w:rsidRDefault="00EF03AE" w:rsidP="00EF03AE">
      <w:pPr>
        <w:ind w:firstLine="426"/>
        <w:rPr>
          <w:rFonts w:asciiTheme="minorHAnsi" w:eastAsia="CenturyGothic" w:hAnsiTheme="minorHAnsi" w:cs="Arial"/>
          <w:i/>
          <w:szCs w:val="22"/>
        </w:rPr>
      </w:pPr>
      <w:r w:rsidRPr="00D8583C">
        <w:rPr>
          <w:rFonts w:asciiTheme="minorHAnsi" w:hAnsiTheme="minorHAnsi" w:cs="Arial"/>
          <w:bCs/>
          <w:i/>
          <w:color w:val="000000"/>
          <w:sz w:val="20"/>
        </w:rPr>
        <w:t>Source: LEC AFS Various Years</w:t>
      </w:r>
    </w:p>
    <w:p w14:paraId="15E09991" w14:textId="77777777" w:rsidR="00EF03AE" w:rsidRDefault="00EF03AE" w:rsidP="00D25BE7">
      <w:pPr>
        <w:rPr>
          <w:rFonts w:asciiTheme="minorHAnsi" w:eastAsia="CenturyGothic" w:hAnsiTheme="minorHAnsi" w:cs="Arial"/>
          <w:szCs w:val="22"/>
        </w:rPr>
      </w:pPr>
    </w:p>
    <w:p w14:paraId="64700CF7" w14:textId="77777777" w:rsidR="00EF03AE" w:rsidRPr="00D25BE7" w:rsidRDefault="00EF03AE" w:rsidP="00D25BE7">
      <w:pPr>
        <w:rPr>
          <w:rFonts w:asciiTheme="minorHAnsi" w:eastAsia="CenturyGothic" w:hAnsiTheme="minorHAnsi" w:cs="Arial"/>
          <w:szCs w:val="22"/>
        </w:rPr>
      </w:pPr>
    </w:p>
    <w:p w14:paraId="226DD57C" w14:textId="1610B855" w:rsidR="0005002F" w:rsidRDefault="00927897" w:rsidP="00062B5C">
      <w:pPr>
        <w:pStyle w:val="ListParagraph"/>
        <w:ind w:left="426" w:hanging="426"/>
        <w:rPr>
          <w:rFonts w:asciiTheme="minorHAnsi" w:eastAsia="CenturyGothic" w:hAnsiTheme="minorHAnsi" w:cs="Arial"/>
          <w:szCs w:val="22"/>
        </w:rPr>
      </w:pPr>
      <w:r>
        <w:rPr>
          <w:rFonts w:asciiTheme="minorHAnsi" w:eastAsia="CenturyGothic" w:hAnsiTheme="minorHAnsi" w:cs="Arial"/>
          <w:szCs w:val="22"/>
        </w:rPr>
        <w:t xml:space="preserve">Figure </w:t>
      </w:r>
      <w:r w:rsidR="00375D1E">
        <w:rPr>
          <w:rFonts w:asciiTheme="minorHAnsi" w:eastAsia="CenturyGothic" w:hAnsiTheme="minorHAnsi" w:cs="Arial"/>
          <w:szCs w:val="22"/>
        </w:rPr>
        <w:t>15</w:t>
      </w:r>
      <w:r>
        <w:rPr>
          <w:rFonts w:asciiTheme="minorHAnsi" w:eastAsia="CenturyGothic" w:hAnsiTheme="minorHAnsi" w:cs="Arial"/>
          <w:szCs w:val="22"/>
        </w:rPr>
        <w:t xml:space="preserve"> </w:t>
      </w:r>
      <w:r w:rsidR="001F0A11">
        <w:rPr>
          <w:rFonts w:asciiTheme="minorHAnsi" w:eastAsia="CenturyGothic" w:hAnsiTheme="minorHAnsi" w:cs="Arial"/>
          <w:szCs w:val="22"/>
        </w:rPr>
        <w:t>shows</w:t>
      </w:r>
      <w:r w:rsidR="00833340">
        <w:rPr>
          <w:rFonts w:asciiTheme="minorHAnsi" w:eastAsia="CenturyGothic" w:hAnsiTheme="minorHAnsi" w:cs="Arial"/>
          <w:szCs w:val="22"/>
        </w:rPr>
        <w:t xml:space="preserve"> </w:t>
      </w:r>
      <w:r>
        <w:rPr>
          <w:rFonts w:asciiTheme="minorHAnsi" w:eastAsia="CenturyGothic" w:hAnsiTheme="minorHAnsi" w:cs="Arial"/>
          <w:szCs w:val="22"/>
        </w:rPr>
        <w:t xml:space="preserve">that whilst there </w:t>
      </w:r>
      <w:r w:rsidR="001F0A11">
        <w:rPr>
          <w:rFonts w:asciiTheme="minorHAnsi" w:eastAsia="CenturyGothic" w:hAnsiTheme="minorHAnsi" w:cs="Arial"/>
          <w:szCs w:val="22"/>
        </w:rPr>
        <w:t xml:space="preserve">is good growth in Total Assets there is not a corresponding level of growth in Shareholders’ Funds, thus Asset growth is </w:t>
      </w:r>
      <w:r>
        <w:rPr>
          <w:rFonts w:asciiTheme="minorHAnsi" w:eastAsia="CenturyGothic" w:hAnsiTheme="minorHAnsi" w:cs="Arial"/>
          <w:szCs w:val="22"/>
        </w:rPr>
        <w:t xml:space="preserve">being financed by debt and the </w:t>
      </w:r>
      <w:r w:rsidR="001F0A11">
        <w:rPr>
          <w:rFonts w:asciiTheme="minorHAnsi" w:eastAsia="CenturyGothic" w:hAnsiTheme="minorHAnsi" w:cs="Arial"/>
          <w:szCs w:val="22"/>
        </w:rPr>
        <w:t xml:space="preserve">proportion of equity is declining. </w:t>
      </w:r>
    </w:p>
    <w:p w14:paraId="4B4D986B" w14:textId="3338A0CD" w:rsidR="0005002F" w:rsidRPr="0023147B" w:rsidRDefault="0005002F">
      <w:pPr>
        <w:pStyle w:val="ListParagraph"/>
        <w:ind w:left="426" w:hanging="426"/>
        <w:rPr>
          <w:rFonts w:asciiTheme="minorHAnsi" w:eastAsia="CenturyGothic" w:hAnsiTheme="minorHAnsi" w:cs="Arial"/>
          <w:szCs w:val="22"/>
        </w:rPr>
      </w:pPr>
      <w:r>
        <w:rPr>
          <w:rFonts w:asciiTheme="minorHAnsi" w:eastAsia="CenturyGothic" w:hAnsiTheme="minorHAnsi" w:cs="Arial"/>
          <w:szCs w:val="22"/>
        </w:rPr>
        <w:t xml:space="preserve">Lesotho cannot currently generate all </w:t>
      </w:r>
      <w:r w:rsidR="00EF03AE">
        <w:rPr>
          <w:rFonts w:asciiTheme="minorHAnsi" w:eastAsia="CenturyGothic" w:hAnsiTheme="minorHAnsi" w:cs="Arial"/>
          <w:szCs w:val="22"/>
        </w:rPr>
        <w:t xml:space="preserve">of the country’s </w:t>
      </w:r>
      <w:r>
        <w:rPr>
          <w:rFonts w:asciiTheme="minorHAnsi" w:eastAsia="CenturyGothic" w:hAnsiTheme="minorHAnsi" w:cs="Arial"/>
          <w:szCs w:val="22"/>
        </w:rPr>
        <w:t xml:space="preserve">electricity requirements. </w:t>
      </w:r>
      <w:r w:rsidRPr="00C7687C">
        <w:rPr>
          <w:rFonts w:asciiTheme="minorHAnsi" w:eastAsia="CenturyGothic" w:hAnsiTheme="minorHAnsi" w:cs="Arial"/>
          <w:szCs w:val="22"/>
        </w:rPr>
        <w:t>LEC are importing power at a high cost (Maloti (M) 0.77 to 1.50 per kWh versus purchases fr</w:t>
      </w:r>
      <w:r w:rsidR="00D61B78">
        <w:rPr>
          <w:rFonts w:asciiTheme="minorHAnsi" w:eastAsia="CenturyGothic" w:hAnsiTheme="minorHAnsi" w:cs="Arial"/>
          <w:szCs w:val="22"/>
        </w:rPr>
        <w:t xml:space="preserve">om </w:t>
      </w:r>
      <w:proofErr w:type="spellStart"/>
      <w:r w:rsidR="00D61B78">
        <w:rPr>
          <w:rFonts w:asciiTheme="minorHAnsi" w:eastAsia="CenturyGothic" w:hAnsiTheme="minorHAnsi" w:cs="Arial"/>
          <w:szCs w:val="22"/>
        </w:rPr>
        <w:t>Muela</w:t>
      </w:r>
      <w:proofErr w:type="spellEnd"/>
      <w:r w:rsidR="00D61B78">
        <w:rPr>
          <w:rFonts w:asciiTheme="minorHAnsi" w:eastAsia="CenturyGothic" w:hAnsiTheme="minorHAnsi" w:cs="Arial"/>
          <w:szCs w:val="22"/>
        </w:rPr>
        <w:t xml:space="preserve"> at M 0.13 per kWh). W</w:t>
      </w:r>
      <w:r w:rsidRPr="00C7687C">
        <w:rPr>
          <w:rFonts w:asciiTheme="minorHAnsi" w:eastAsia="CenturyGothic" w:hAnsiTheme="minorHAnsi" w:cs="Arial"/>
          <w:szCs w:val="22"/>
        </w:rPr>
        <w:t>hilst currently generating profits, LEC’s ageing infrastructure requires significant investment without which</w:t>
      </w:r>
      <w:r w:rsidRPr="00C7687C">
        <w:rPr>
          <w:rFonts w:asciiTheme="minorHAnsi" w:hAnsiTheme="minorHAnsi"/>
        </w:rPr>
        <w:t xml:space="preserve"> services and financial performance will deteriorate.</w:t>
      </w:r>
    </w:p>
    <w:p w14:paraId="2F0A3F47" w14:textId="63B73D50" w:rsidR="003A1E9E" w:rsidRPr="00D61B78" w:rsidRDefault="009255CB">
      <w:pPr>
        <w:pStyle w:val="ListParagraph"/>
        <w:ind w:left="426" w:hanging="426"/>
        <w:rPr>
          <w:rFonts w:asciiTheme="minorHAnsi" w:eastAsia="CenturyGothic" w:hAnsiTheme="minorHAnsi" w:cs="Arial"/>
          <w:szCs w:val="22"/>
        </w:rPr>
      </w:pPr>
      <w:r>
        <w:rPr>
          <w:rFonts w:asciiTheme="minorHAnsi" w:eastAsia="CenturyGothic" w:hAnsiTheme="minorHAnsi" w:cs="Arial"/>
          <w:szCs w:val="22"/>
        </w:rPr>
        <w:lastRenderedPageBreak/>
        <w:t xml:space="preserve">With regard to loans that have </w:t>
      </w:r>
      <w:r w:rsidR="00860A95">
        <w:rPr>
          <w:rFonts w:asciiTheme="minorHAnsi" w:eastAsia="CenturyGothic" w:hAnsiTheme="minorHAnsi" w:cs="Arial"/>
          <w:szCs w:val="22"/>
        </w:rPr>
        <w:t xml:space="preserve">been </w:t>
      </w:r>
      <w:r>
        <w:rPr>
          <w:rFonts w:asciiTheme="minorHAnsi" w:eastAsia="CenturyGothic" w:hAnsiTheme="minorHAnsi" w:cs="Arial"/>
          <w:szCs w:val="22"/>
        </w:rPr>
        <w:t xml:space="preserve">guaranteed by GOL and on lent to LEC, the Auditor General’s report </w:t>
      </w:r>
      <w:r w:rsidR="00C249FD">
        <w:rPr>
          <w:rFonts w:asciiTheme="minorHAnsi" w:eastAsia="CenturyGothic" w:hAnsiTheme="minorHAnsi" w:cs="Arial"/>
          <w:szCs w:val="22"/>
        </w:rPr>
        <w:t xml:space="preserve">2017/18 </w:t>
      </w:r>
      <w:r>
        <w:rPr>
          <w:rFonts w:asciiTheme="minorHAnsi" w:eastAsia="CenturyGothic" w:hAnsiTheme="minorHAnsi" w:cs="Arial"/>
          <w:szCs w:val="22"/>
        </w:rPr>
        <w:t xml:space="preserve">indicates that LEC had </w:t>
      </w:r>
      <w:r w:rsidR="00C249FD">
        <w:rPr>
          <w:rFonts w:asciiTheme="minorHAnsi" w:eastAsia="CenturyGothic" w:hAnsiTheme="minorHAnsi" w:cs="Arial"/>
          <w:szCs w:val="22"/>
        </w:rPr>
        <w:t xml:space="preserve">made </w:t>
      </w:r>
      <w:r>
        <w:rPr>
          <w:rFonts w:asciiTheme="minorHAnsi" w:eastAsia="CenturyGothic" w:hAnsiTheme="minorHAnsi" w:cs="Arial"/>
          <w:szCs w:val="22"/>
        </w:rPr>
        <w:t xml:space="preserve">repayments on both principal and </w:t>
      </w:r>
      <w:r w:rsidRPr="0005002F">
        <w:rPr>
          <w:rFonts w:asciiTheme="minorHAnsi" w:eastAsia="CenturyGothic" w:hAnsiTheme="minorHAnsi" w:cs="Arial"/>
          <w:szCs w:val="22"/>
        </w:rPr>
        <w:t>interest and had no arrears.</w:t>
      </w:r>
    </w:p>
    <w:p w14:paraId="25F660E1" w14:textId="3479E287" w:rsidR="00647573" w:rsidRPr="00D25BE7" w:rsidRDefault="00062B5C" w:rsidP="00647573">
      <w:pPr>
        <w:pStyle w:val="ListParagraph"/>
        <w:ind w:left="426" w:hanging="426"/>
        <w:rPr>
          <w:rFonts w:asciiTheme="minorHAnsi" w:eastAsia="CenturyGothic" w:hAnsiTheme="minorHAnsi" w:cs="Arial"/>
          <w:szCs w:val="22"/>
        </w:rPr>
      </w:pPr>
      <w:bookmarkStart w:id="20" w:name="_Toc453783139"/>
      <w:bookmarkStart w:id="21" w:name="_Toc457999752"/>
      <w:r w:rsidRPr="0023147B">
        <w:rPr>
          <w:rFonts w:asciiTheme="minorHAnsi" w:hAnsiTheme="minorHAnsi"/>
          <w:b/>
          <w:color w:val="000000" w:themeColor="text1"/>
          <w:sz w:val="24"/>
          <w:szCs w:val="24"/>
          <w:u w:val="single"/>
        </w:rPr>
        <w:t>Water and Sewerage Company</w:t>
      </w:r>
      <w:bookmarkEnd w:id="20"/>
      <w:bookmarkEnd w:id="21"/>
      <w:r w:rsidRPr="00D25BE7">
        <w:rPr>
          <w:rFonts w:asciiTheme="minorHAnsi" w:hAnsiTheme="minorHAnsi"/>
          <w:color w:val="000000" w:themeColor="text1"/>
          <w:szCs w:val="22"/>
          <w:u w:val="single"/>
        </w:rPr>
        <w:t xml:space="preserve"> </w:t>
      </w:r>
      <w:r w:rsidRPr="00D25BE7">
        <w:rPr>
          <w:rFonts w:asciiTheme="minorHAnsi" w:hAnsiTheme="minorHAnsi" w:cs="Arial"/>
          <w:szCs w:val="22"/>
        </w:rPr>
        <w:t xml:space="preserve">WASCO is a 100 percent government owned company, established by Law in 2010, to take over the assets and operations of the former Water and Sewerage Authority (WASA).  It is responsible for providing potable water and waste water disposal for 17 urban areas of Lesotho and territories served by the </w:t>
      </w:r>
      <w:proofErr w:type="spellStart"/>
      <w:r w:rsidRPr="00D25BE7">
        <w:rPr>
          <w:rFonts w:asciiTheme="minorHAnsi" w:hAnsiTheme="minorHAnsi" w:cs="Arial"/>
          <w:szCs w:val="22"/>
        </w:rPr>
        <w:t>Metolong</w:t>
      </w:r>
      <w:proofErr w:type="spellEnd"/>
      <w:r w:rsidRPr="00D25BE7">
        <w:rPr>
          <w:rFonts w:asciiTheme="minorHAnsi" w:hAnsiTheme="minorHAnsi" w:cs="Arial"/>
          <w:szCs w:val="22"/>
        </w:rPr>
        <w:t xml:space="preserve"> Dam.  The company is owned 50 percent </w:t>
      </w:r>
      <w:r w:rsidR="009F184F" w:rsidRPr="00D25BE7">
        <w:rPr>
          <w:rFonts w:asciiTheme="minorHAnsi" w:hAnsiTheme="minorHAnsi" w:cs="Arial"/>
          <w:szCs w:val="22"/>
        </w:rPr>
        <w:t xml:space="preserve">each </w:t>
      </w:r>
      <w:r w:rsidRPr="00D25BE7">
        <w:rPr>
          <w:rFonts w:asciiTheme="minorHAnsi" w:hAnsiTheme="minorHAnsi" w:cs="Arial"/>
          <w:szCs w:val="22"/>
        </w:rPr>
        <w:t xml:space="preserve">by the </w:t>
      </w:r>
      <w:proofErr w:type="spellStart"/>
      <w:r w:rsidRPr="00D25BE7">
        <w:rPr>
          <w:rFonts w:asciiTheme="minorHAnsi" w:hAnsiTheme="minorHAnsi" w:cs="Arial"/>
          <w:szCs w:val="22"/>
        </w:rPr>
        <w:t>MoF</w:t>
      </w:r>
      <w:proofErr w:type="spellEnd"/>
      <w:r w:rsidRPr="00D25BE7">
        <w:rPr>
          <w:rFonts w:asciiTheme="minorHAnsi" w:hAnsiTheme="minorHAnsi" w:cs="Arial"/>
          <w:szCs w:val="22"/>
        </w:rPr>
        <w:t xml:space="preserve"> and the Ministry of Energy, Meteorology and Water Affairs. Along with LEC, WASCO is independently regulated by LEWA. In addition to the objectives of providing adequate and expanded service</w:t>
      </w:r>
      <w:r w:rsidR="00B83E13">
        <w:rPr>
          <w:rFonts w:asciiTheme="minorHAnsi" w:hAnsiTheme="minorHAnsi" w:cs="Arial"/>
          <w:szCs w:val="22"/>
        </w:rPr>
        <w:t>,</w:t>
      </w:r>
      <w:r w:rsidRPr="00D25BE7">
        <w:rPr>
          <w:rFonts w:asciiTheme="minorHAnsi" w:hAnsiTheme="minorHAnsi" w:cs="Arial"/>
          <w:szCs w:val="22"/>
        </w:rPr>
        <w:t xml:space="preserve"> an important objective is financial sustainability, including a reduction in the volume of non-revenue water.</w:t>
      </w:r>
      <w:r w:rsidRPr="00D25BE7">
        <w:rPr>
          <w:rStyle w:val="FootnoteReference"/>
          <w:rFonts w:asciiTheme="minorHAnsi" w:hAnsiTheme="minorHAnsi" w:cs="Arial"/>
          <w:szCs w:val="22"/>
        </w:rPr>
        <w:footnoteReference w:id="9"/>
      </w:r>
      <w:r w:rsidRPr="00D25BE7">
        <w:rPr>
          <w:rFonts w:asciiTheme="minorHAnsi" w:hAnsiTheme="minorHAnsi" w:cs="Arial"/>
          <w:szCs w:val="22"/>
        </w:rPr>
        <w:t xml:space="preserve">  WASCO has around 550 employees. </w:t>
      </w:r>
    </w:p>
    <w:p w14:paraId="5E3F62F1" w14:textId="593FB286" w:rsidR="00EE28C4" w:rsidRPr="0023147B" w:rsidRDefault="00B83E13" w:rsidP="00920385">
      <w:pPr>
        <w:pStyle w:val="ListParagraph"/>
        <w:ind w:left="426" w:hanging="426"/>
        <w:rPr>
          <w:rFonts w:asciiTheme="minorHAnsi" w:eastAsia="CenturyGothic" w:hAnsiTheme="minorHAnsi" w:cs="Arial"/>
          <w:szCs w:val="22"/>
        </w:rPr>
      </w:pPr>
      <w:r>
        <w:rPr>
          <w:rFonts w:asciiTheme="minorHAnsi" w:hAnsiTheme="minorHAnsi"/>
        </w:rPr>
        <w:t>Reduction of n</w:t>
      </w:r>
      <w:r w:rsidRPr="00D25BE7">
        <w:rPr>
          <w:rFonts w:asciiTheme="minorHAnsi" w:hAnsiTheme="minorHAnsi"/>
        </w:rPr>
        <w:t>on</w:t>
      </w:r>
      <w:r w:rsidR="00647573" w:rsidRPr="00D25BE7">
        <w:rPr>
          <w:rFonts w:asciiTheme="minorHAnsi" w:hAnsiTheme="minorHAnsi"/>
        </w:rPr>
        <w:t xml:space="preserve">-revenue water </w:t>
      </w:r>
      <w:r>
        <w:rPr>
          <w:rFonts w:asciiTheme="minorHAnsi" w:hAnsiTheme="minorHAnsi"/>
        </w:rPr>
        <w:t xml:space="preserve">is a key objective for the company in terms of both improving efficiency of supply and </w:t>
      </w:r>
      <w:r w:rsidR="00BA3EE6">
        <w:rPr>
          <w:rFonts w:asciiTheme="minorHAnsi" w:hAnsiTheme="minorHAnsi"/>
        </w:rPr>
        <w:t xml:space="preserve">supporting revenue and profit growth. WASCO’s target for non-revenue water for the financial year 2017/18 was set at 28% (which is still relatively high). However, the </w:t>
      </w:r>
      <w:r w:rsidR="00EE28C4">
        <w:rPr>
          <w:rFonts w:asciiTheme="minorHAnsi" w:hAnsiTheme="minorHAnsi"/>
        </w:rPr>
        <w:t xml:space="preserve">average </w:t>
      </w:r>
      <w:r w:rsidR="00BA3EE6">
        <w:rPr>
          <w:rFonts w:asciiTheme="minorHAnsi" w:hAnsiTheme="minorHAnsi"/>
        </w:rPr>
        <w:t xml:space="preserve">non-revenue water </w:t>
      </w:r>
      <w:r w:rsidR="00EE28C4">
        <w:rPr>
          <w:rFonts w:asciiTheme="minorHAnsi" w:hAnsiTheme="minorHAnsi"/>
        </w:rPr>
        <w:t>figure for the year was actually 41.5%</w:t>
      </w:r>
      <w:r w:rsidR="00365DCF">
        <w:rPr>
          <w:rFonts w:asciiTheme="minorHAnsi" w:hAnsiTheme="minorHAnsi"/>
        </w:rPr>
        <w:t xml:space="preserve">. To clarify this means that for every 100 </w:t>
      </w:r>
      <w:proofErr w:type="spellStart"/>
      <w:r w:rsidR="00365DCF">
        <w:rPr>
          <w:rFonts w:asciiTheme="minorHAnsi" w:hAnsiTheme="minorHAnsi"/>
        </w:rPr>
        <w:t>litres</w:t>
      </w:r>
      <w:proofErr w:type="spellEnd"/>
      <w:r w:rsidR="00365DCF">
        <w:rPr>
          <w:rFonts w:asciiTheme="minorHAnsi" w:hAnsiTheme="minorHAnsi"/>
        </w:rPr>
        <w:t xml:space="preserve"> of water that WASCO </w:t>
      </w:r>
      <w:r w:rsidR="00E2746B">
        <w:rPr>
          <w:rFonts w:asciiTheme="minorHAnsi" w:hAnsiTheme="minorHAnsi"/>
        </w:rPr>
        <w:t>produces</w:t>
      </w:r>
      <w:r w:rsidR="00EF03AE">
        <w:rPr>
          <w:rFonts w:asciiTheme="minorHAnsi" w:hAnsiTheme="minorHAnsi"/>
        </w:rPr>
        <w:t>,</w:t>
      </w:r>
      <w:r w:rsidR="00E2746B">
        <w:rPr>
          <w:rFonts w:asciiTheme="minorHAnsi" w:hAnsiTheme="minorHAnsi"/>
        </w:rPr>
        <w:t xml:space="preserve"> 41.</w:t>
      </w:r>
      <w:r w:rsidR="00365DCF">
        <w:rPr>
          <w:rFonts w:asciiTheme="minorHAnsi" w:hAnsiTheme="minorHAnsi"/>
        </w:rPr>
        <w:t>5</w:t>
      </w:r>
      <w:r w:rsidR="00E2746B">
        <w:rPr>
          <w:rFonts w:asciiTheme="minorHAnsi" w:hAnsiTheme="minorHAnsi"/>
        </w:rPr>
        <w:t xml:space="preserve"> </w:t>
      </w:r>
      <w:proofErr w:type="spellStart"/>
      <w:r w:rsidR="00365DCF">
        <w:rPr>
          <w:rFonts w:asciiTheme="minorHAnsi" w:hAnsiTheme="minorHAnsi"/>
        </w:rPr>
        <w:t>litres</w:t>
      </w:r>
      <w:proofErr w:type="spellEnd"/>
      <w:r w:rsidR="00365DCF">
        <w:rPr>
          <w:rFonts w:asciiTheme="minorHAnsi" w:hAnsiTheme="minorHAnsi"/>
        </w:rPr>
        <w:t xml:space="preserve"> are simply ‘lost’ </w:t>
      </w:r>
      <w:r w:rsidR="00E2746B">
        <w:rPr>
          <w:rFonts w:asciiTheme="minorHAnsi" w:hAnsiTheme="minorHAnsi"/>
        </w:rPr>
        <w:t>or wasted. Not only is this significant in terms of efficiency and the financial position of the company but it has m</w:t>
      </w:r>
      <w:r w:rsidR="00F87AEE">
        <w:rPr>
          <w:rFonts w:asciiTheme="minorHAnsi" w:hAnsiTheme="minorHAnsi"/>
        </w:rPr>
        <w:t>ajor environmental implications -</w:t>
      </w:r>
      <w:r w:rsidR="00E2746B">
        <w:rPr>
          <w:rFonts w:asciiTheme="minorHAnsi" w:hAnsiTheme="minorHAnsi"/>
        </w:rPr>
        <w:t xml:space="preserve"> exacerbated by the </w:t>
      </w:r>
      <w:r w:rsidR="00F87AEE">
        <w:rPr>
          <w:rFonts w:asciiTheme="minorHAnsi" w:hAnsiTheme="minorHAnsi"/>
        </w:rPr>
        <w:t>devastating drought that has afflicted Lesotho.</w:t>
      </w:r>
    </w:p>
    <w:p w14:paraId="46DC93CA" w14:textId="42212F59" w:rsidR="00647573" w:rsidRPr="00D25BE7" w:rsidRDefault="00EE28C4" w:rsidP="00920385">
      <w:pPr>
        <w:pStyle w:val="ListParagraph"/>
        <w:ind w:left="426" w:hanging="426"/>
        <w:rPr>
          <w:rFonts w:asciiTheme="minorHAnsi" w:eastAsia="CenturyGothic" w:hAnsiTheme="minorHAnsi" w:cs="Arial"/>
          <w:szCs w:val="22"/>
        </w:rPr>
      </w:pPr>
      <w:r>
        <w:rPr>
          <w:rFonts w:asciiTheme="minorHAnsi" w:hAnsiTheme="minorHAnsi"/>
        </w:rPr>
        <w:t xml:space="preserve">The company is also </w:t>
      </w:r>
      <w:r w:rsidR="003D735A">
        <w:rPr>
          <w:rFonts w:asciiTheme="minorHAnsi" w:hAnsiTheme="minorHAnsi"/>
        </w:rPr>
        <w:t>hampered by</w:t>
      </w:r>
      <w:r w:rsidR="00647573" w:rsidRPr="00D25BE7">
        <w:rPr>
          <w:rFonts w:asciiTheme="minorHAnsi" w:hAnsiTheme="minorHAnsi"/>
        </w:rPr>
        <w:t xml:space="preserve"> delays in collections from Government customers</w:t>
      </w:r>
      <w:r w:rsidR="003D735A">
        <w:rPr>
          <w:rFonts w:asciiTheme="minorHAnsi" w:hAnsiTheme="minorHAnsi"/>
        </w:rPr>
        <w:t xml:space="preserve"> and t</w:t>
      </w:r>
      <w:r w:rsidR="00647573" w:rsidRPr="00D25BE7">
        <w:rPr>
          <w:rFonts w:asciiTheme="minorHAnsi" w:hAnsiTheme="minorHAnsi"/>
        </w:rPr>
        <w:t xml:space="preserve">ariff increase requests have not always been met by the regulator.  A major challenge is to expand the provision of services in the poorer urban areas while achieving full cost recovery.  There appears to be scope for better determination of the costs of public service </w:t>
      </w:r>
      <w:r w:rsidR="00647573" w:rsidRPr="00D25BE7">
        <w:rPr>
          <w:rFonts w:asciiTheme="minorHAnsi" w:hAnsiTheme="minorHAnsi"/>
          <w:lang w:val="en-GB"/>
        </w:rPr>
        <w:t>obligations in providing subsidi</w:t>
      </w:r>
      <w:r w:rsidR="00920385" w:rsidRPr="00D25BE7">
        <w:rPr>
          <w:rFonts w:asciiTheme="minorHAnsi" w:hAnsiTheme="minorHAnsi"/>
          <w:lang w:val="en-GB"/>
        </w:rPr>
        <w:t>s</w:t>
      </w:r>
      <w:r w:rsidR="00647573" w:rsidRPr="00D25BE7">
        <w:rPr>
          <w:rFonts w:asciiTheme="minorHAnsi" w:hAnsiTheme="minorHAnsi"/>
          <w:lang w:val="en-GB"/>
        </w:rPr>
        <w:t>ed services to poorer communities, and for updating the tariff structure to ensure cost recovery while encouraging greater efficiency.</w:t>
      </w:r>
      <w:r w:rsidR="00647573" w:rsidRPr="00D25BE7">
        <w:rPr>
          <w:rFonts w:asciiTheme="minorHAnsi" w:hAnsiTheme="minorHAnsi"/>
        </w:rPr>
        <w:t xml:space="preserve">  </w:t>
      </w:r>
    </w:p>
    <w:p w14:paraId="0EB348BA" w14:textId="5531AFA0" w:rsidR="00475263" w:rsidRPr="0023147B" w:rsidRDefault="00475263" w:rsidP="00475263">
      <w:pPr>
        <w:ind w:firstLine="426"/>
        <w:rPr>
          <w:rFonts w:asciiTheme="minorHAnsi" w:hAnsiTheme="minorHAnsi"/>
          <w:b/>
          <w:sz w:val="20"/>
          <w:lang w:val="en-GB"/>
        </w:rPr>
      </w:pPr>
      <w:r w:rsidRPr="00243C32">
        <w:rPr>
          <w:rFonts w:asciiTheme="minorHAnsi" w:hAnsiTheme="minorHAnsi"/>
          <w:b/>
          <w:sz w:val="20"/>
          <w:lang w:val="en-GB"/>
        </w:rPr>
        <w:t xml:space="preserve">Figure </w:t>
      </w:r>
      <w:r w:rsidR="00375D1E" w:rsidRPr="00243C32">
        <w:rPr>
          <w:rFonts w:asciiTheme="minorHAnsi" w:hAnsiTheme="minorHAnsi"/>
          <w:b/>
          <w:sz w:val="20"/>
          <w:lang w:val="en-GB"/>
        </w:rPr>
        <w:t>16</w:t>
      </w:r>
      <w:r w:rsidRPr="00243C32">
        <w:rPr>
          <w:rFonts w:asciiTheme="minorHAnsi" w:hAnsiTheme="minorHAnsi"/>
          <w:b/>
          <w:sz w:val="20"/>
          <w:lang w:val="en-GB"/>
        </w:rPr>
        <w:t>:</w:t>
      </w:r>
      <w:r w:rsidR="001D24E6" w:rsidRPr="00243C32">
        <w:rPr>
          <w:rFonts w:asciiTheme="minorHAnsi" w:hAnsiTheme="minorHAnsi"/>
          <w:b/>
          <w:sz w:val="20"/>
          <w:lang w:val="en-GB"/>
        </w:rPr>
        <w:t xml:space="preserve"> WASCO </w:t>
      </w:r>
      <w:r w:rsidR="00375D1E" w:rsidRPr="00375D1E">
        <w:rPr>
          <w:rFonts w:asciiTheme="minorHAnsi" w:hAnsiTheme="minorHAnsi"/>
          <w:b/>
          <w:sz w:val="20"/>
          <w:lang w:val="en-GB"/>
        </w:rPr>
        <w:t>Returns</w:t>
      </w:r>
      <w:r w:rsidR="00EF03AE">
        <w:rPr>
          <w:rFonts w:asciiTheme="minorHAnsi" w:hAnsiTheme="minorHAnsi"/>
          <w:b/>
          <w:sz w:val="20"/>
          <w:lang w:val="en-GB"/>
        </w:rPr>
        <w:t xml:space="preserve"> 2014/15 to 2017/18</w:t>
      </w:r>
    </w:p>
    <w:p w14:paraId="35F1F983" w14:textId="77777777" w:rsidR="00C67426" w:rsidRDefault="00C67426" w:rsidP="00475263">
      <w:pPr>
        <w:pStyle w:val="ListParagraph"/>
        <w:numPr>
          <w:ilvl w:val="0"/>
          <w:numId w:val="0"/>
        </w:numPr>
        <w:ind w:left="426"/>
        <w:rPr>
          <w:rFonts w:asciiTheme="minorHAnsi" w:hAnsiTheme="minorHAnsi"/>
          <w:color w:val="000000" w:themeColor="text1"/>
          <w:szCs w:val="22"/>
          <w:lang w:val="en-GB"/>
        </w:rPr>
      </w:pPr>
    </w:p>
    <w:p w14:paraId="1EFDDA41" w14:textId="4CD6E731" w:rsidR="00C67426" w:rsidRDefault="00C67426" w:rsidP="00475263">
      <w:pPr>
        <w:pStyle w:val="ListParagraph"/>
        <w:numPr>
          <w:ilvl w:val="0"/>
          <w:numId w:val="0"/>
        </w:numPr>
        <w:ind w:left="426"/>
        <w:rPr>
          <w:rFonts w:asciiTheme="minorHAnsi" w:hAnsiTheme="minorHAnsi"/>
          <w:color w:val="000000" w:themeColor="text1"/>
          <w:szCs w:val="22"/>
          <w:lang w:val="en-GB"/>
        </w:rPr>
      </w:pPr>
      <w:r>
        <w:rPr>
          <w:noProof/>
        </w:rPr>
        <w:lastRenderedPageBreak/>
        <w:drawing>
          <wp:inline distT="0" distB="0" distL="0" distR="0" wp14:anchorId="6B701572" wp14:editId="35D348DE">
            <wp:extent cx="4572000" cy="2743200"/>
            <wp:effectExtent l="25400" t="25400" r="101600" b="1016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47C29C5" w14:textId="7F7800C2" w:rsidR="002A121C" w:rsidRPr="00D8583C" w:rsidRDefault="002A121C" w:rsidP="004140E8">
      <w:pPr>
        <w:ind w:firstLine="720"/>
        <w:rPr>
          <w:rFonts w:asciiTheme="minorHAnsi" w:eastAsia="CenturyGothic" w:hAnsiTheme="minorHAnsi" w:cs="Arial"/>
          <w:i/>
          <w:szCs w:val="22"/>
        </w:rPr>
      </w:pPr>
      <w:r>
        <w:rPr>
          <w:rFonts w:asciiTheme="minorHAnsi" w:hAnsiTheme="minorHAnsi" w:cs="Arial"/>
          <w:bCs/>
          <w:i/>
          <w:color w:val="000000"/>
          <w:sz w:val="20"/>
        </w:rPr>
        <w:t>Source: WASCO</w:t>
      </w:r>
      <w:r w:rsidRPr="00D8583C">
        <w:rPr>
          <w:rFonts w:asciiTheme="minorHAnsi" w:hAnsiTheme="minorHAnsi" w:cs="Arial"/>
          <w:bCs/>
          <w:i/>
          <w:color w:val="000000"/>
          <w:sz w:val="20"/>
        </w:rPr>
        <w:t xml:space="preserve"> AFS Various Years</w:t>
      </w:r>
    </w:p>
    <w:p w14:paraId="0BAAA3EB" w14:textId="77777777" w:rsidR="00C67426" w:rsidRPr="004140E8" w:rsidRDefault="00C67426" w:rsidP="004140E8">
      <w:pPr>
        <w:ind w:left="928" w:hanging="360"/>
        <w:rPr>
          <w:rFonts w:asciiTheme="minorHAnsi" w:hAnsiTheme="minorHAnsi"/>
          <w:color w:val="000000" w:themeColor="text1"/>
          <w:szCs w:val="22"/>
          <w:lang w:val="en-GB"/>
        </w:rPr>
      </w:pPr>
    </w:p>
    <w:p w14:paraId="02039FDD" w14:textId="4A5A2D7D" w:rsidR="00FF2FC3" w:rsidRPr="00D25BE7" w:rsidRDefault="00FF2FC3" w:rsidP="00FF2FC3">
      <w:pPr>
        <w:pStyle w:val="ListParagraph"/>
        <w:ind w:left="426" w:hanging="426"/>
        <w:rPr>
          <w:rFonts w:asciiTheme="minorHAnsi" w:eastAsia="CenturyGothic" w:hAnsiTheme="minorHAnsi" w:cs="Arial"/>
          <w:szCs w:val="22"/>
        </w:rPr>
      </w:pPr>
      <w:r w:rsidRPr="00D25BE7">
        <w:rPr>
          <w:rFonts w:asciiTheme="minorHAnsi" w:hAnsiTheme="minorHAnsi" w:cs="Arial"/>
          <w:szCs w:val="22"/>
        </w:rPr>
        <w:t xml:space="preserve">WASCO's financial performance has been erratic and deteriorated in </w:t>
      </w:r>
      <w:r>
        <w:rPr>
          <w:rFonts w:asciiTheme="minorHAnsi" w:hAnsiTheme="minorHAnsi" w:cs="Arial"/>
          <w:szCs w:val="22"/>
        </w:rPr>
        <w:t xml:space="preserve">the past </w:t>
      </w:r>
      <w:r w:rsidRPr="00D25BE7">
        <w:rPr>
          <w:rFonts w:asciiTheme="minorHAnsi" w:hAnsiTheme="minorHAnsi" w:cs="Arial"/>
          <w:szCs w:val="22"/>
        </w:rPr>
        <w:t xml:space="preserve">and </w:t>
      </w:r>
      <w:r>
        <w:rPr>
          <w:rFonts w:asciiTheme="minorHAnsi" w:hAnsiTheme="minorHAnsi"/>
          <w:szCs w:val="22"/>
        </w:rPr>
        <w:t>the GoL</w:t>
      </w:r>
      <w:r w:rsidRPr="00D25BE7">
        <w:rPr>
          <w:rFonts w:asciiTheme="minorHAnsi" w:hAnsiTheme="minorHAnsi"/>
          <w:szCs w:val="22"/>
        </w:rPr>
        <w:t xml:space="preserve"> has stepped in several times with transfers to cover WASCO's cash flow shortfall due to public service obligations, not all of which are financially viable. However, after a series of losses, </w:t>
      </w:r>
      <w:r>
        <w:rPr>
          <w:rFonts w:asciiTheme="minorHAnsi" w:hAnsiTheme="minorHAnsi"/>
          <w:szCs w:val="22"/>
        </w:rPr>
        <w:t>WASCO has reported improvements and a return to profitability as from 2015/16</w:t>
      </w:r>
      <w:r w:rsidRPr="00D25BE7">
        <w:rPr>
          <w:rFonts w:asciiTheme="minorHAnsi" w:hAnsiTheme="minorHAnsi"/>
          <w:szCs w:val="22"/>
        </w:rPr>
        <w:t>.</w:t>
      </w:r>
    </w:p>
    <w:p w14:paraId="6F086A77" w14:textId="01309C21" w:rsidR="002C1017" w:rsidRPr="0023147B" w:rsidRDefault="0072694B" w:rsidP="0023147B">
      <w:pPr>
        <w:pStyle w:val="ListParagraph"/>
        <w:ind w:left="426" w:hanging="426"/>
        <w:rPr>
          <w:rFonts w:asciiTheme="minorHAnsi" w:hAnsiTheme="minorHAnsi"/>
          <w:color w:val="000000" w:themeColor="text1"/>
          <w:szCs w:val="22"/>
          <w:lang w:val="en-GB"/>
        </w:rPr>
      </w:pPr>
      <w:r>
        <w:rPr>
          <w:rFonts w:asciiTheme="minorHAnsi" w:hAnsiTheme="minorHAnsi"/>
          <w:lang w:val="en-GB"/>
        </w:rPr>
        <w:t xml:space="preserve">Figure </w:t>
      </w:r>
      <w:r w:rsidR="002A121C">
        <w:rPr>
          <w:rFonts w:asciiTheme="minorHAnsi" w:hAnsiTheme="minorHAnsi"/>
          <w:lang w:val="en-GB"/>
        </w:rPr>
        <w:t>16</w:t>
      </w:r>
      <w:r>
        <w:rPr>
          <w:rFonts w:asciiTheme="minorHAnsi" w:hAnsiTheme="minorHAnsi"/>
          <w:lang w:val="en-GB"/>
        </w:rPr>
        <w:t xml:space="preserve"> highlights the apparent impressive growth in Revenue, EBITDA and NOPAT as well as ROE and ROA turning positive</w:t>
      </w:r>
      <w:r w:rsidR="00F83C05">
        <w:rPr>
          <w:rFonts w:asciiTheme="minorHAnsi" w:hAnsiTheme="minorHAnsi"/>
          <w:lang w:val="en-GB"/>
        </w:rPr>
        <w:t xml:space="preserve">. However, the widening gap between EBITDA and NOPAT is probably a reflection of increasing debts.  </w:t>
      </w:r>
    </w:p>
    <w:p w14:paraId="0C66394B" w14:textId="35E4A450" w:rsidR="00062B5C" w:rsidRPr="0023147B" w:rsidRDefault="002C1017" w:rsidP="0023147B">
      <w:pPr>
        <w:pStyle w:val="ListParagraph"/>
        <w:ind w:left="426" w:hanging="426"/>
        <w:rPr>
          <w:rFonts w:asciiTheme="minorHAnsi" w:hAnsiTheme="minorHAnsi"/>
          <w:color w:val="000000" w:themeColor="text1"/>
          <w:szCs w:val="22"/>
          <w:lang w:val="en-GB"/>
        </w:rPr>
      </w:pPr>
      <w:r>
        <w:rPr>
          <w:rFonts w:asciiTheme="minorHAnsi" w:hAnsiTheme="minorHAnsi"/>
          <w:lang w:val="en-GB"/>
        </w:rPr>
        <w:t>Accounts Receivable Days showed some improvement but is still at a very high 141 days; which has a significant impact on cash flow.</w:t>
      </w:r>
    </w:p>
    <w:p w14:paraId="1BC80723" w14:textId="3B02AF59" w:rsidR="00785316" w:rsidRPr="00D25BE7" w:rsidRDefault="00F83C05" w:rsidP="00785316">
      <w:pPr>
        <w:pStyle w:val="ListParagraph"/>
        <w:ind w:left="426" w:hanging="426"/>
        <w:rPr>
          <w:rFonts w:asciiTheme="minorHAnsi" w:hAnsiTheme="minorHAnsi"/>
          <w:color w:val="000000" w:themeColor="text1"/>
          <w:lang w:val="en-GB"/>
        </w:rPr>
      </w:pPr>
      <w:r w:rsidRPr="00243C32">
        <w:rPr>
          <w:rFonts w:asciiTheme="minorHAnsi" w:hAnsiTheme="minorHAnsi"/>
          <w:color w:val="000000" w:themeColor="text1"/>
          <w:lang w:val="en-GB"/>
        </w:rPr>
        <w:t xml:space="preserve">Table </w:t>
      </w:r>
      <w:r w:rsidR="00C21030" w:rsidRPr="00243C32">
        <w:rPr>
          <w:rFonts w:asciiTheme="minorHAnsi" w:hAnsiTheme="minorHAnsi"/>
          <w:color w:val="000000" w:themeColor="text1"/>
          <w:lang w:val="en-GB"/>
        </w:rPr>
        <w:t>12</w:t>
      </w:r>
      <w:r w:rsidRPr="00243C32">
        <w:rPr>
          <w:rFonts w:asciiTheme="minorHAnsi" w:hAnsiTheme="minorHAnsi"/>
          <w:color w:val="000000" w:themeColor="text1"/>
          <w:lang w:val="en-GB"/>
        </w:rPr>
        <w:t xml:space="preserve"> contains a </w:t>
      </w:r>
      <w:r w:rsidR="00F9434E" w:rsidRPr="00C21030">
        <w:rPr>
          <w:rFonts w:asciiTheme="minorHAnsi" w:hAnsiTheme="minorHAnsi"/>
          <w:color w:val="000000" w:themeColor="text1"/>
          <w:lang w:val="en-GB"/>
        </w:rPr>
        <w:t>m</w:t>
      </w:r>
      <w:r w:rsidRPr="00C21030">
        <w:rPr>
          <w:rFonts w:asciiTheme="minorHAnsi" w:hAnsiTheme="minorHAnsi"/>
          <w:color w:val="000000" w:themeColor="text1"/>
          <w:lang w:val="en-GB"/>
        </w:rPr>
        <w:t>ore</w:t>
      </w:r>
      <w:r>
        <w:rPr>
          <w:rFonts w:asciiTheme="minorHAnsi" w:hAnsiTheme="minorHAnsi"/>
          <w:color w:val="000000" w:themeColor="text1"/>
          <w:lang w:val="en-GB"/>
        </w:rPr>
        <w:t xml:space="preserve"> complete </w:t>
      </w:r>
      <w:r w:rsidR="00F9434E">
        <w:rPr>
          <w:rFonts w:asciiTheme="minorHAnsi" w:hAnsiTheme="minorHAnsi"/>
          <w:color w:val="000000" w:themeColor="text1"/>
          <w:lang w:val="en-GB"/>
        </w:rPr>
        <w:t xml:space="preserve">outline of WASCO’s </w:t>
      </w:r>
      <w:r w:rsidR="00785316" w:rsidRPr="00D25BE7">
        <w:rPr>
          <w:rFonts w:asciiTheme="minorHAnsi" w:hAnsiTheme="minorHAnsi"/>
          <w:color w:val="000000" w:themeColor="text1"/>
          <w:lang w:val="en-GB"/>
        </w:rPr>
        <w:t>performance data for FY’</w:t>
      </w:r>
      <w:proofErr w:type="gramStart"/>
      <w:r w:rsidR="00785316" w:rsidRPr="00D25BE7">
        <w:rPr>
          <w:rFonts w:asciiTheme="minorHAnsi" w:hAnsiTheme="minorHAnsi"/>
          <w:color w:val="000000" w:themeColor="text1"/>
          <w:lang w:val="en-GB"/>
        </w:rPr>
        <w:t>1</w:t>
      </w:r>
      <w:r w:rsidR="00365DCF">
        <w:rPr>
          <w:rFonts w:asciiTheme="minorHAnsi" w:hAnsiTheme="minorHAnsi"/>
          <w:color w:val="000000" w:themeColor="text1"/>
          <w:lang w:val="en-GB"/>
        </w:rPr>
        <w:t xml:space="preserve">8 </w:t>
      </w:r>
      <w:r w:rsidR="00785316" w:rsidRPr="00D25BE7">
        <w:rPr>
          <w:rFonts w:asciiTheme="minorHAnsi" w:hAnsiTheme="minorHAnsi"/>
          <w:color w:val="000000" w:themeColor="text1"/>
          <w:lang w:val="en-GB"/>
        </w:rPr>
        <w:t>:</w:t>
      </w:r>
      <w:proofErr w:type="gramEnd"/>
    </w:p>
    <w:p w14:paraId="63C697A3" w14:textId="710DB622" w:rsidR="00785316" w:rsidRDefault="00785316" w:rsidP="00785316">
      <w:pPr>
        <w:ind w:firstLine="426"/>
        <w:rPr>
          <w:rFonts w:asciiTheme="minorHAnsi" w:hAnsiTheme="minorHAnsi"/>
          <w:b/>
          <w:sz w:val="20"/>
          <w:lang w:val="en-GB"/>
        </w:rPr>
      </w:pPr>
      <w:r w:rsidRPr="00243C32">
        <w:rPr>
          <w:rFonts w:asciiTheme="minorHAnsi" w:hAnsiTheme="minorHAnsi"/>
          <w:b/>
          <w:sz w:val="20"/>
          <w:lang w:val="en-GB"/>
        </w:rPr>
        <w:t xml:space="preserve">Table </w:t>
      </w:r>
      <w:r w:rsidR="008A01F2" w:rsidRPr="00243C32">
        <w:rPr>
          <w:rFonts w:asciiTheme="minorHAnsi" w:hAnsiTheme="minorHAnsi"/>
          <w:b/>
          <w:sz w:val="20"/>
          <w:lang w:val="en-GB"/>
        </w:rPr>
        <w:t>1</w:t>
      </w:r>
      <w:r w:rsidR="00C21030" w:rsidRPr="00243C32">
        <w:rPr>
          <w:rFonts w:asciiTheme="minorHAnsi" w:hAnsiTheme="minorHAnsi"/>
          <w:b/>
          <w:sz w:val="20"/>
          <w:lang w:val="en-GB"/>
        </w:rPr>
        <w:t>2</w:t>
      </w:r>
      <w:r w:rsidRPr="00243C32">
        <w:rPr>
          <w:rFonts w:asciiTheme="minorHAnsi" w:hAnsiTheme="minorHAnsi"/>
          <w:b/>
          <w:sz w:val="20"/>
          <w:lang w:val="en-GB"/>
        </w:rPr>
        <w:t>: Performance Highlights – WASCO</w:t>
      </w:r>
    </w:p>
    <w:p w14:paraId="65E41A4E" w14:textId="77777777" w:rsidR="00F9434E" w:rsidRPr="0023147B" w:rsidRDefault="00F9434E" w:rsidP="00785316">
      <w:pPr>
        <w:ind w:firstLine="426"/>
        <w:rPr>
          <w:rFonts w:asciiTheme="minorHAnsi" w:hAnsiTheme="minorHAnsi"/>
          <w:b/>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1276"/>
        <w:gridCol w:w="1276"/>
        <w:gridCol w:w="1276"/>
        <w:gridCol w:w="1276"/>
      </w:tblGrid>
      <w:tr w:rsidR="00777034" w:rsidRPr="002A121C" w14:paraId="7DFF08A0" w14:textId="77777777" w:rsidTr="004140E8">
        <w:trPr>
          <w:trHeight w:val="360"/>
          <w:tblHeader/>
          <w:jc w:val="center"/>
        </w:trPr>
        <w:tc>
          <w:tcPr>
            <w:tcW w:w="2126" w:type="dxa"/>
            <w:shd w:val="clear" w:color="auto" w:fill="D9D9D9" w:themeFill="background1" w:themeFillShade="D9"/>
            <w:noWrap/>
            <w:vAlign w:val="center"/>
            <w:hideMark/>
          </w:tcPr>
          <w:p w14:paraId="54B444D2" w14:textId="77777777" w:rsidR="00777034" w:rsidRPr="004140E8" w:rsidRDefault="00777034" w:rsidP="006037FB">
            <w:pPr>
              <w:ind w:firstLine="42"/>
              <w:rPr>
                <w:rFonts w:asciiTheme="minorHAnsi" w:hAnsiTheme="minorHAnsi"/>
                <w:sz w:val="18"/>
                <w:szCs w:val="18"/>
                <w:lang w:eastAsia="en-GB"/>
              </w:rPr>
            </w:pPr>
            <w:bookmarkStart w:id="22" w:name="OLE_LINK3"/>
            <w:r w:rsidRPr="004140E8">
              <w:rPr>
                <w:rFonts w:asciiTheme="minorHAnsi" w:hAnsiTheme="minorHAnsi"/>
                <w:sz w:val="18"/>
                <w:szCs w:val="18"/>
                <w:lang w:eastAsia="en-GB"/>
              </w:rPr>
              <w:t>Performance Highlights (M '000)</w:t>
            </w:r>
          </w:p>
        </w:tc>
        <w:tc>
          <w:tcPr>
            <w:tcW w:w="1276" w:type="dxa"/>
            <w:shd w:val="clear" w:color="auto" w:fill="D9D9D9" w:themeFill="background1" w:themeFillShade="D9"/>
            <w:vAlign w:val="center"/>
          </w:tcPr>
          <w:p w14:paraId="22C108C1" w14:textId="1937D86D" w:rsidR="00777034" w:rsidRPr="004140E8" w:rsidRDefault="00777034" w:rsidP="006037FB">
            <w:pPr>
              <w:jc w:val="center"/>
              <w:rPr>
                <w:rFonts w:asciiTheme="minorHAnsi" w:hAnsiTheme="minorHAnsi" w:cstheme="minorHAnsi"/>
                <w:b/>
                <w:bCs/>
                <w:color w:val="000000"/>
                <w:sz w:val="18"/>
                <w:szCs w:val="18"/>
                <w:lang w:eastAsia="en-GB"/>
              </w:rPr>
            </w:pPr>
            <w:r w:rsidRPr="004140E8">
              <w:rPr>
                <w:rFonts w:asciiTheme="minorHAnsi" w:hAnsiTheme="minorHAnsi" w:cstheme="minorHAnsi"/>
                <w:b/>
                <w:bCs/>
                <w:sz w:val="18"/>
                <w:szCs w:val="18"/>
                <w:lang w:eastAsia="en-GB"/>
              </w:rPr>
              <w:t>2014/15</w:t>
            </w:r>
          </w:p>
        </w:tc>
        <w:tc>
          <w:tcPr>
            <w:tcW w:w="1276" w:type="dxa"/>
            <w:shd w:val="clear" w:color="auto" w:fill="D9D9D9" w:themeFill="background1" w:themeFillShade="D9"/>
            <w:vAlign w:val="center"/>
          </w:tcPr>
          <w:p w14:paraId="62798D22" w14:textId="77CBD353" w:rsidR="00777034" w:rsidRPr="004140E8" w:rsidRDefault="00777034" w:rsidP="006037FB">
            <w:pPr>
              <w:jc w:val="center"/>
              <w:rPr>
                <w:rFonts w:asciiTheme="minorHAnsi" w:hAnsiTheme="minorHAnsi" w:cstheme="minorHAnsi"/>
                <w:b/>
                <w:bCs/>
                <w:color w:val="000000"/>
                <w:sz w:val="18"/>
                <w:szCs w:val="18"/>
                <w:lang w:eastAsia="en-GB"/>
              </w:rPr>
            </w:pPr>
            <w:r w:rsidRPr="004140E8">
              <w:rPr>
                <w:rFonts w:asciiTheme="minorHAnsi" w:hAnsiTheme="minorHAnsi" w:cstheme="minorHAnsi"/>
                <w:b/>
                <w:bCs/>
                <w:sz w:val="18"/>
                <w:szCs w:val="18"/>
                <w:lang w:eastAsia="en-GB"/>
              </w:rPr>
              <w:t>2015/16</w:t>
            </w:r>
          </w:p>
        </w:tc>
        <w:tc>
          <w:tcPr>
            <w:tcW w:w="1276" w:type="dxa"/>
            <w:shd w:val="clear" w:color="auto" w:fill="D9D9D9" w:themeFill="background1" w:themeFillShade="D9"/>
            <w:vAlign w:val="center"/>
            <w:hideMark/>
          </w:tcPr>
          <w:p w14:paraId="6C2833F4" w14:textId="2E6C2AF7" w:rsidR="00777034" w:rsidRPr="004140E8" w:rsidRDefault="00777034" w:rsidP="006037FB">
            <w:pPr>
              <w:jc w:val="center"/>
              <w:rPr>
                <w:rFonts w:asciiTheme="minorHAnsi" w:hAnsiTheme="minorHAnsi" w:cstheme="minorHAnsi"/>
                <w:b/>
                <w:bCs/>
                <w:sz w:val="18"/>
                <w:szCs w:val="18"/>
                <w:lang w:eastAsia="en-GB"/>
              </w:rPr>
            </w:pPr>
            <w:r w:rsidRPr="004140E8">
              <w:rPr>
                <w:rFonts w:asciiTheme="minorHAnsi" w:hAnsiTheme="minorHAnsi" w:cstheme="minorHAnsi"/>
                <w:b/>
                <w:bCs/>
                <w:sz w:val="18"/>
                <w:szCs w:val="18"/>
                <w:lang w:eastAsia="en-GB"/>
              </w:rPr>
              <w:t>2016/17</w:t>
            </w:r>
          </w:p>
        </w:tc>
        <w:tc>
          <w:tcPr>
            <w:tcW w:w="1276" w:type="dxa"/>
            <w:shd w:val="clear" w:color="auto" w:fill="D9D9D9" w:themeFill="background1" w:themeFillShade="D9"/>
            <w:vAlign w:val="center"/>
          </w:tcPr>
          <w:p w14:paraId="4CBC8E1C" w14:textId="5F0FA0B6" w:rsidR="00777034" w:rsidRPr="004140E8" w:rsidRDefault="00777034" w:rsidP="006037FB">
            <w:pPr>
              <w:jc w:val="center"/>
              <w:rPr>
                <w:rFonts w:asciiTheme="minorHAnsi" w:hAnsiTheme="minorHAnsi" w:cstheme="minorHAnsi"/>
                <w:b/>
                <w:bCs/>
                <w:color w:val="000000"/>
                <w:sz w:val="18"/>
                <w:szCs w:val="18"/>
                <w:lang w:eastAsia="en-GB"/>
              </w:rPr>
            </w:pPr>
            <w:r w:rsidRPr="004140E8">
              <w:rPr>
                <w:rFonts w:asciiTheme="minorHAnsi" w:hAnsiTheme="minorHAnsi" w:cstheme="minorHAnsi"/>
                <w:b/>
                <w:bCs/>
                <w:sz w:val="18"/>
                <w:szCs w:val="18"/>
                <w:lang w:eastAsia="en-GB"/>
              </w:rPr>
              <w:t>2017/18</w:t>
            </w:r>
          </w:p>
        </w:tc>
        <w:tc>
          <w:tcPr>
            <w:tcW w:w="1276" w:type="dxa"/>
            <w:shd w:val="clear" w:color="auto" w:fill="D9D9D9" w:themeFill="background1" w:themeFillShade="D9"/>
            <w:noWrap/>
            <w:vAlign w:val="center"/>
            <w:hideMark/>
          </w:tcPr>
          <w:p w14:paraId="5D5E1957" w14:textId="7A39E685" w:rsidR="00777034" w:rsidRPr="004140E8" w:rsidRDefault="00777034" w:rsidP="006037FB">
            <w:pPr>
              <w:jc w:val="center"/>
              <w:rPr>
                <w:rFonts w:asciiTheme="minorHAnsi" w:hAnsiTheme="minorHAnsi" w:cstheme="minorHAnsi"/>
                <w:b/>
                <w:bCs/>
                <w:color w:val="000000"/>
                <w:sz w:val="18"/>
                <w:szCs w:val="18"/>
                <w:lang w:eastAsia="en-GB"/>
              </w:rPr>
            </w:pPr>
            <w:r w:rsidRPr="004140E8">
              <w:rPr>
                <w:rFonts w:asciiTheme="minorHAnsi" w:hAnsiTheme="minorHAnsi" w:cstheme="minorHAnsi"/>
                <w:b/>
                <w:bCs/>
                <w:color w:val="000000"/>
                <w:sz w:val="18"/>
                <w:szCs w:val="18"/>
                <w:lang w:eastAsia="en-GB"/>
              </w:rPr>
              <w:t>4-yr Average</w:t>
            </w:r>
          </w:p>
        </w:tc>
      </w:tr>
      <w:bookmarkEnd w:id="22"/>
      <w:tr w:rsidR="00564931" w:rsidRPr="002A121C" w14:paraId="7593BB7A" w14:textId="77777777" w:rsidTr="004140E8">
        <w:trPr>
          <w:trHeight w:val="360"/>
          <w:jc w:val="center"/>
        </w:trPr>
        <w:tc>
          <w:tcPr>
            <w:tcW w:w="2126" w:type="dxa"/>
            <w:shd w:val="clear" w:color="000000" w:fill="FFFFFF"/>
            <w:noWrap/>
            <w:vAlign w:val="center"/>
            <w:hideMark/>
          </w:tcPr>
          <w:p w14:paraId="3BFAE327" w14:textId="77777777" w:rsidR="00564931" w:rsidRPr="004140E8" w:rsidRDefault="00564931"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Total Revenue</w:t>
            </w:r>
          </w:p>
        </w:tc>
        <w:tc>
          <w:tcPr>
            <w:tcW w:w="1276" w:type="dxa"/>
            <w:vAlign w:val="center"/>
          </w:tcPr>
          <w:p w14:paraId="22E920EB" w14:textId="33F6EA54"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198,665</w:t>
            </w:r>
          </w:p>
        </w:tc>
        <w:tc>
          <w:tcPr>
            <w:tcW w:w="1276" w:type="dxa"/>
            <w:vAlign w:val="center"/>
          </w:tcPr>
          <w:p w14:paraId="64A0915D" w14:textId="371307F3"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222,837 </w:t>
            </w:r>
          </w:p>
        </w:tc>
        <w:tc>
          <w:tcPr>
            <w:tcW w:w="1276" w:type="dxa"/>
            <w:shd w:val="clear" w:color="auto" w:fill="auto"/>
            <w:noWrap/>
            <w:vAlign w:val="center"/>
            <w:hideMark/>
          </w:tcPr>
          <w:p w14:paraId="7EF58D40" w14:textId="15151D48"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247,809 </w:t>
            </w:r>
          </w:p>
        </w:tc>
        <w:tc>
          <w:tcPr>
            <w:tcW w:w="1276" w:type="dxa"/>
            <w:vAlign w:val="center"/>
          </w:tcPr>
          <w:p w14:paraId="5FA5D639" w14:textId="5E6F33CF" w:rsidR="00564931" w:rsidRPr="004140E8" w:rsidRDefault="001641BE" w:rsidP="00224C2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273,983</w:t>
            </w:r>
          </w:p>
        </w:tc>
        <w:tc>
          <w:tcPr>
            <w:tcW w:w="1276" w:type="dxa"/>
            <w:shd w:val="clear" w:color="auto" w:fill="auto"/>
            <w:noWrap/>
            <w:vAlign w:val="center"/>
            <w:hideMark/>
          </w:tcPr>
          <w:p w14:paraId="2D38C2BE" w14:textId="78A4A6F4"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223,104 </w:t>
            </w:r>
          </w:p>
        </w:tc>
      </w:tr>
      <w:tr w:rsidR="00564931" w:rsidRPr="002A121C" w14:paraId="2786F884" w14:textId="77777777" w:rsidTr="004140E8">
        <w:trPr>
          <w:trHeight w:val="360"/>
          <w:jc w:val="center"/>
        </w:trPr>
        <w:tc>
          <w:tcPr>
            <w:tcW w:w="2126" w:type="dxa"/>
            <w:shd w:val="clear" w:color="000000" w:fill="FFFFFF"/>
            <w:noWrap/>
            <w:vAlign w:val="center"/>
            <w:hideMark/>
          </w:tcPr>
          <w:p w14:paraId="3F8C29F6" w14:textId="77777777" w:rsidR="00564931" w:rsidRPr="004140E8" w:rsidRDefault="00564931"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Net Operating Profit After Tax</w:t>
            </w:r>
          </w:p>
        </w:tc>
        <w:tc>
          <w:tcPr>
            <w:tcW w:w="1276" w:type="dxa"/>
            <w:vAlign w:val="center"/>
          </w:tcPr>
          <w:p w14:paraId="7F3298E8" w14:textId="6140A73E" w:rsidR="00564931" w:rsidRPr="004140E8" w:rsidRDefault="00564931" w:rsidP="009441DB">
            <w:pPr>
              <w:jc w:val="right"/>
              <w:rPr>
                <w:rFonts w:asciiTheme="minorHAnsi" w:hAnsiTheme="minorHAnsi" w:cstheme="minorHAnsi"/>
                <w:color w:val="FF0000"/>
                <w:sz w:val="18"/>
                <w:szCs w:val="18"/>
                <w:lang w:eastAsia="en-GB"/>
              </w:rPr>
            </w:pPr>
            <w:r w:rsidRPr="004140E8">
              <w:rPr>
                <w:rFonts w:asciiTheme="minorHAnsi" w:hAnsiTheme="minorHAnsi" w:cstheme="minorHAnsi"/>
                <w:color w:val="000000" w:themeColor="text1"/>
                <w:sz w:val="18"/>
                <w:szCs w:val="18"/>
                <w:lang w:eastAsia="en-GB"/>
              </w:rPr>
              <w:t xml:space="preserve">(3,160) </w:t>
            </w:r>
          </w:p>
        </w:tc>
        <w:tc>
          <w:tcPr>
            <w:tcW w:w="1276" w:type="dxa"/>
            <w:vAlign w:val="center"/>
          </w:tcPr>
          <w:p w14:paraId="5320F49E" w14:textId="3CBF155A" w:rsidR="00564931" w:rsidRPr="004140E8" w:rsidRDefault="00564931" w:rsidP="009441DB">
            <w:pPr>
              <w:jc w:val="right"/>
              <w:rPr>
                <w:rFonts w:asciiTheme="minorHAnsi" w:hAnsiTheme="minorHAnsi" w:cstheme="minorHAnsi"/>
                <w:color w:val="FF0000"/>
                <w:sz w:val="18"/>
                <w:szCs w:val="18"/>
                <w:lang w:eastAsia="en-GB"/>
              </w:rPr>
            </w:pPr>
            <w:r w:rsidRPr="004140E8">
              <w:rPr>
                <w:rFonts w:asciiTheme="minorHAnsi" w:hAnsiTheme="minorHAnsi" w:cstheme="minorHAnsi"/>
                <w:color w:val="000000" w:themeColor="text1"/>
                <w:sz w:val="18"/>
                <w:szCs w:val="18"/>
                <w:lang w:eastAsia="en-GB"/>
              </w:rPr>
              <w:t xml:space="preserve">6,036 </w:t>
            </w:r>
          </w:p>
        </w:tc>
        <w:tc>
          <w:tcPr>
            <w:tcW w:w="1276" w:type="dxa"/>
            <w:shd w:val="clear" w:color="auto" w:fill="auto"/>
            <w:noWrap/>
            <w:vAlign w:val="center"/>
            <w:hideMark/>
          </w:tcPr>
          <w:p w14:paraId="32552073" w14:textId="75A1A420"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16,112 </w:t>
            </w:r>
          </w:p>
        </w:tc>
        <w:tc>
          <w:tcPr>
            <w:tcW w:w="1276" w:type="dxa"/>
            <w:vAlign w:val="center"/>
          </w:tcPr>
          <w:p w14:paraId="561C6B0A" w14:textId="7B63CD2C" w:rsidR="00564931" w:rsidRPr="004140E8" w:rsidRDefault="00224C2C" w:rsidP="00224C2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17,034</w:t>
            </w:r>
          </w:p>
        </w:tc>
        <w:tc>
          <w:tcPr>
            <w:tcW w:w="1276" w:type="dxa"/>
            <w:shd w:val="clear" w:color="auto" w:fill="auto"/>
            <w:noWrap/>
            <w:vAlign w:val="center"/>
            <w:hideMark/>
          </w:tcPr>
          <w:p w14:paraId="06CAA775" w14:textId="78184503"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6,329 </w:t>
            </w:r>
          </w:p>
        </w:tc>
      </w:tr>
      <w:tr w:rsidR="00564931" w:rsidRPr="002A121C" w14:paraId="1A9CE4FF" w14:textId="77777777" w:rsidTr="004140E8">
        <w:trPr>
          <w:trHeight w:val="360"/>
          <w:jc w:val="center"/>
        </w:trPr>
        <w:tc>
          <w:tcPr>
            <w:tcW w:w="2126" w:type="dxa"/>
            <w:shd w:val="clear" w:color="000000" w:fill="FFFFFF"/>
            <w:noWrap/>
            <w:vAlign w:val="center"/>
            <w:hideMark/>
          </w:tcPr>
          <w:p w14:paraId="7FF89E97" w14:textId="47EBE979" w:rsidR="00564931" w:rsidRPr="004140E8" w:rsidRDefault="00564931" w:rsidP="009441DB">
            <w:pPr>
              <w:rPr>
                <w:rFonts w:asciiTheme="minorHAnsi" w:hAnsiTheme="minorHAnsi" w:cstheme="minorHAnsi"/>
                <w:sz w:val="18"/>
                <w:szCs w:val="18"/>
                <w:lang w:eastAsia="en-GB"/>
              </w:rPr>
            </w:pPr>
            <w:bookmarkStart w:id="23" w:name="OLE_LINK8"/>
            <w:r w:rsidRPr="004140E8">
              <w:rPr>
                <w:rFonts w:asciiTheme="minorHAnsi" w:hAnsiTheme="minorHAnsi" w:cstheme="minorHAnsi"/>
                <w:sz w:val="18"/>
                <w:szCs w:val="18"/>
                <w:lang w:eastAsia="en-GB"/>
              </w:rPr>
              <w:t>Capital Grants Receipts</w:t>
            </w:r>
            <w:bookmarkEnd w:id="23"/>
          </w:p>
        </w:tc>
        <w:tc>
          <w:tcPr>
            <w:tcW w:w="1276" w:type="dxa"/>
            <w:vAlign w:val="center"/>
          </w:tcPr>
          <w:p w14:paraId="7FE9015C" w14:textId="1A4D6C0A" w:rsidR="00564931" w:rsidRPr="004140E8" w:rsidRDefault="00564931" w:rsidP="009441DB">
            <w:pPr>
              <w:keepNext/>
              <w:keepLines/>
              <w:spacing w:before="480" w:line="276" w:lineRule="auto"/>
              <w:jc w:val="right"/>
              <w:rPr>
                <w:rFonts w:asciiTheme="minorHAnsi" w:hAnsiTheme="minorHAnsi" w:cstheme="minorHAnsi"/>
                <w:color w:val="000000" w:themeColor="text1"/>
                <w:sz w:val="18"/>
                <w:szCs w:val="18"/>
                <w:lang w:eastAsia="en-GB"/>
              </w:rPr>
            </w:pPr>
          </w:p>
        </w:tc>
        <w:tc>
          <w:tcPr>
            <w:tcW w:w="1276" w:type="dxa"/>
            <w:vAlign w:val="center"/>
          </w:tcPr>
          <w:p w14:paraId="28E62607" w14:textId="02F97615"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c>
          <w:tcPr>
            <w:tcW w:w="1276" w:type="dxa"/>
            <w:shd w:val="clear" w:color="auto" w:fill="auto"/>
            <w:noWrap/>
            <w:vAlign w:val="center"/>
            <w:hideMark/>
          </w:tcPr>
          <w:p w14:paraId="204D9AE9" w14:textId="06D1E35A"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105,828  </w:t>
            </w:r>
          </w:p>
        </w:tc>
        <w:tc>
          <w:tcPr>
            <w:tcW w:w="1276" w:type="dxa"/>
            <w:vAlign w:val="center"/>
          </w:tcPr>
          <w:p w14:paraId="002D255A" w14:textId="77777777" w:rsidR="00564931" w:rsidRPr="004140E8" w:rsidRDefault="00564931" w:rsidP="00224C2C">
            <w:pPr>
              <w:keepNext/>
              <w:keepLines/>
              <w:spacing w:before="120" w:line="276" w:lineRule="auto"/>
              <w:jc w:val="right"/>
              <w:rPr>
                <w:rFonts w:asciiTheme="minorHAnsi" w:hAnsiTheme="minorHAnsi" w:cstheme="minorHAnsi"/>
                <w:color w:val="000000" w:themeColor="text1"/>
                <w:sz w:val="18"/>
                <w:szCs w:val="18"/>
                <w:lang w:eastAsia="en-GB"/>
              </w:rPr>
            </w:pPr>
          </w:p>
        </w:tc>
        <w:tc>
          <w:tcPr>
            <w:tcW w:w="1276" w:type="dxa"/>
            <w:shd w:val="clear" w:color="auto" w:fill="auto"/>
            <w:noWrap/>
            <w:vAlign w:val="center"/>
            <w:hideMark/>
          </w:tcPr>
          <w:p w14:paraId="5C3C913E" w14:textId="1B434EA7"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168,663 </w:t>
            </w:r>
          </w:p>
        </w:tc>
      </w:tr>
      <w:tr w:rsidR="00564931" w:rsidRPr="002A121C" w14:paraId="07CCB2CD" w14:textId="77777777" w:rsidTr="004140E8">
        <w:trPr>
          <w:trHeight w:val="360"/>
          <w:jc w:val="center"/>
        </w:trPr>
        <w:tc>
          <w:tcPr>
            <w:tcW w:w="2126" w:type="dxa"/>
            <w:shd w:val="clear" w:color="000000" w:fill="FFFFFF"/>
            <w:noWrap/>
            <w:vAlign w:val="center"/>
            <w:hideMark/>
          </w:tcPr>
          <w:p w14:paraId="1009CC94" w14:textId="77777777" w:rsidR="00564931" w:rsidRPr="004140E8" w:rsidRDefault="00564931"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Total Assets</w:t>
            </w:r>
          </w:p>
        </w:tc>
        <w:tc>
          <w:tcPr>
            <w:tcW w:w="1276" w:type="dxa"/>
            <w:vAlign w:val="center"/>
          </w:tcPr>
          <w:p w14:paraId="62F9F73F" w14:textId="01C91ACE"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1,351,220 </w:t>
            </w:r>
          </w:p>
        </w:tc>
        <w:tc>
          <w:tcPr>
            <w:tcW w:w="1276" w:type="dxa"/>
            <w:vAlign w:val="center"/>
          </w:tcPr>
          <w:p w14:paraId="2A8F0F8B" w14:textId="393478A4"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1,458,702 </w:t>
            </w:r>
          </w:p>
        </w:tc>
        <w:tc>
          <w:tcPr>
            <w:tcW w:w="1276" w:type="dxa"/>
            <w:shd w:val="clear" w:color="auto" w:fill="auto"/>
            <w:noWrap/>
            <w:vAlign w:val="center"/>
          </w:tcPr>
          <w:p w14:paraId="4D54114D" w14:textId="2E029E17"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1,552,253 </w:t>
            </w:r>
          </w:p>
        </w:tc>
        <w:tc>
          <w:tcPr>
            <w:tcW w:w="1276" w:type="dxa"/>
            <w:vAlign w:val="center"/>
          </w:tcPr>
          <w:p w14:paraId="6A9399FB" w14:textId="070DAD9A" w:rsidR="00564931" w:rsidRPr="004140E8" w:rsidRDefault="00C25B79" w:rsidP="00224C2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1,594,101</w:t>
            </w:r>
          </w:p>
        </w:tc>
        <w:tc>
          <w:tcPr>
            <w:tcW w:w="1276" w:type="dxa"/>
            <w:shd w:val="clear" w:color="auto" w:fill="auto"/>
            <w:noWrap/>
            <w:vAlign w:val="center"/>
            <w:hideMark/>
          </w:tcPr>
          <w:p w14:paraId="2D288D97" w14:textId="5EFEA883"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1,454,058 </w:t>
            </w:r>
          </w:p>
        </w:tc>
      </w:tr>
      <w:tr w:rsidR="00564931" w:rsidRPr="002A121C" w14:paraId="2F5232C7" w14:textId="77777777" w:rsidTr="004140E8">
        <w:trPr>
          <w:trHeight w:val="360"/>
          <w:jc w:val="center"/>
        </w:trPr>
        <w:tc>
          <w:tcPr>
            <w:tcW w:w="2126" w:type="dxa"/>
            <w:shd w:val="clear" w:color="000000" w:fill="FFFFFF"/>
            <w:noWrap/>
            <w:vAlign w:val="center"/>
            <w:hideMark/>
          </w:tcPr>
          <w:p w14:paraId="52F406E3" w14:textId="77777777" w:rsidR="00564931" w:rsidRPr="004140E8" w:rsidRDefault="00564931"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Total Liabilities</w:t>
            </w:r>
          </w:p>
        </w:tc>
        <w:tc>
          <w:tcPr>
            <w:tcW w:w="1276" w:type="dxa"/>
            <w:vAlign w:val="center"/>
          </w:tcPr>
          <w:p w14:paraId="76B916F1" w14:textId="2D7F7504"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202,706 </w:t>
            </w:r>
          </w:p>
        </w:tc>
        <w:tc>
          <w:tcPr>
            <w:tcW w:w="1276" w:type="dxa"/>
            <w:vAlign w:val="center"/>
          </w:tcPr>
          <w:p w14:paraId="35B20BA5" w14:textId="14FE3285"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274,196 </w:t>
            </w:r>
          </w:p>
        </w:tc>
        <w:tc>
          <w:tcPr>
            <w:tcW w:w="1276" w:type="dxa"/>
            <w:shd w:val="clear" w:color="auto" w:fill="auto"/>
            <w:noWrap/>
            <w:vAlign w:val="center"/>
          </w:tcPr>
          <w:p w14:paraId="0A758898" w14:textId="070C747A"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317,824 </w:t>
            </w:r>
          </w:p>
        </w:tc>
        <w:tc>
          <w:tcPr>
            <w:tcW w:w="1276" w:type="dxa"/>
            <w:vAlign w:val="center"/>
          </w:tcPr>
          <w:p w14:paraId="4BB35C80" w14:textId="32C99ACD" w:rsidR="00564931" w:rsidRPr="004140E8" w:rsidRDefault="00C25B79" w:rsidP="00224C2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322,829</w:t>
            </w:r>
          </w:p>
        </w:tc>
        <w:tc>
          <w:tcPr>
            <w:tcW w:w="1276" w:type="dxa"/>
            <w:shd w:val="clear" w:color="auto" w:fill="auto"/>
            <w:noWrap/>
            <w:vAlign w:val="center"/>
            <w:hideMark/>
          </w:tcPr>
          <w:p w14:paraId="5A05E5EA" w14:textId="3B872C18"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264,909 </w:t>
            </w:r>
          </w:p>
        </w:tc>
      </w:tr>
      <w:tr w:rsidR="00564931" w:rsidRPr="002A121C" w14:paraId="759859BD" w14:textId="77777777" w:rsidTr="004140E8">
        <w:trPr>
          <w:trHeight w:val="360"/>
          <w:jc w:val="center"/>
        </w:trPr>
        <w:tc>
          <w:tcPr>
            <w:tcW w:w="2126" w:type="dxa"/>
            <w:shd w:val="clear" w:color="000000" w:fill="FFFFFF"/>
            <w:noWrap/>
            <w:vAlign w:val="center"/>
            <w:hideMark/>
          </w:tcPr>
          <w:p w14:paraId="7F72BDED" w14:textId="77777777" w:rsidR="00564931" w:rsidRPr="004140E8" w:rsidRDefault="00564931"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Shareholders' Funds</w:t>
            </w:r>
          </w:p>
        </w:tc>
        <w:tc>
          <w:tcPr>
            <w:tcW w:w="1276" w:type="dxa"/>
            <w:vAlign w:val="center"/>
          </w:tcPr>
          <w:p w14:paraId="6FED31CB" w14:textId="4ADA8195" w:rsidR="00564931" w:rsidRPr="004140E8" w:rsidRDefault="00564931" w:rsidP="009441DB">
            <w:pPr>
              <w:jc w:val="right"/>
              <w:rPr>
                <w:rFonts w:asciiTheme="minorHAnsi" w:hAnsiTheme="minorHAnsi" w:cstheme="minorHAnsi"/>
                <w:color w:val="FF0000"/>
                <w:sz w:val="18"/>
                <w:szCs w:val="18"/>
                <w:lang w:eastAsia="en-GB"/>
              </w:rPr>
            </w:pPr>
            <w:r w:rsidRPr="004140E8">
              <w:rPr>
                <w:rFonts w:asciiTheme="minorHAnsi" w:hAnsiTheme="minorHAnsi" w:cstheme="minorHAnsi"/>
                <w:color w:val="000000" w:themeColor="text1"/>
                <w:sz w:val="18"/>
                <w:szCs w:val="18"/>
                <w:lang w:eastAsia="en-GB"/>
              </w:rPr>
              <w:t xml:space="preserve">1,148,514 </w:t>
            </w:r>
          </w:p>
        </w:tc>
        <w:tc>
          <w:tcPr>
            <w:tcW w:w="1276" w:type="dxa"/>
            <w:vAlign w:val="center"/>
          </w:tcPr>
          <w:p w14:paraId="799C2CF5" w14:textId="076FAEC3" w:rsidR="00564931" w:rsidRPr="004140E8" w:rsidRDefault="00564931" w:rsidP="009441DB">
            <w:pPr>
              <w:jc w:val="right"/>
              <w:rPr>
                <w:rFonts w:asciiTheme="minorHAnsi" w:hAnsiTheme="minorHAnsi" w:cstheme="minorHAnsi"/>
                <w:color w:val="FF0000"/>
                <w:sz w:val="18"/>
                <w:szCs w:val="18"/>
                <w:lang w:eastAsia="en-GB"/>
              </w:rPr>
            </w:pPr>
            <w:r w:rsidRPr="004140E8">
              <w:rPr>
                <w:rFonts w:asciiTheme="minorHAnsi" w:hAnsiTheme="minorHAnsi" w:cstheme="minorHAnsi"/>
                <w:color w:val="000000" w:themeColor="text1"/>
                <w:sz w:val="18"/>
                <w:szCs w:val="18"/>
                <w:lang w:eastAsia="en-GB"/>
              </w:rPr>
              <w:t xml:space="preserve">1,184,506 </w:t>
            </w:r>
          </w:p>
        </w:tc>
        <w:tc>
          <w:tcPr>
            <w:tcW w:w="1276" w:type="dxa"/>
            <w:shd w:val="clear" w:color="auto" w:fill="auto"/>
            <w:noWrap/>
            <w:vAlign w:val="center"/>
          </w:tcPr>
          <w:p w14:paraId="7775A8B7" w14:textId="50CB9124"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1,234,429 </w:t>
            </w:r>
          </w:p>
        </w:tc>
        <w:tc>
          <w:tcPr>
            <w:tcW w:w="1276" w:type="dxa"/>
            <w:vAlign w:val="center"/>
          </w:tcPr>
          <w:p w14:paraId="35BD3E81" w14:textId="7B448A9A" w:rsidR="00564931" w:rsidRPr="004140E8" w:rsidRDefault="00C25B79" w:rsidP="00224C2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1,271,272</w:t>
            </w:r>
          </w:p>
        </w:tc>
        <w:tc>
          <w:tcPr>
            <w:tcW w:w="1276" w:type="dxa"/>
            <w:shd w:val="clear" w:color="auto" w:fill="auto"/>
            <w:noWrap/>
            <w:vAlign w:val="center"/>
            <w:hideMark/>
          </w:tcPr>
          <w:p w14:paraId="77D65C1A" w14:textId="3AF074CA"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1,189,150 </w:t>
            </w:r>
          </w:p>
        </w:tc>
      </w:tr>
      <w:tr w:rsidR="00564931" w:rsidRPr="002A121C" w14:paraId="5C5C5C9D" w14:textId="77777777" w:rsidTr="004140E8">
        <w:trPr>
          <w:trHeight w:val="360"/>
          <w:jc w:val="center"/>
        </w:trPr>
        <w:tc>
          <w:tcPr>
            <w:tcW w:w="2126" w:type="dxa"/>
            <w:shd w:val="clear" w:color="000000" w:fill="FFFFFF"/>
            <w:noWrap/>
            <w:vAlign w:val="center"/>
          </w:tcPr>
          <w:p w14:paraId="70B79115" w14:textId="77777777" w:rsidR="00564931" w:rsidRPr="004140E8" w:rsidRDefault="00564931"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EBITDA %</w:t>
            </w:r>
          </w:p>
        </w:tc>
        <w:tc>
          <w:tcPr>
            <w:tcW w:w="1276" w:type="dxa"/>
            <w:vAlign w:val="center"/>
          </w:tcPr>
          <w:p w14:paraId="4D45C259" w14:textId="10A11421"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7% </w:t>
            </w:r>
          </w:p>
        </w:tc>
        <w:tc>
          <w:tcPr>
            <w:tcW w:w="1276" w:type="dxa"/>
            <w:vAlign w:val="center"/>
          </w:tcPr>
          <w:p w14:paraId="083DA395" w14:textId="421D0561"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11% </w:t>
            </w:r>
          </w:p>
        </w:tc>
        <w:tc>
          <w:tcPr>
            <w:tcW w:w="1276" w:type="dxa"/>
            <w:shd w:val="clear" w:color="auto" w:fill="auto"/>
            <w:noWrap/>
            <w:vAlign w:val="center"/>
          </w:tcPr>
          <w:p w14:paraId="3FB9370A" w14:textId="5D6C7CBB"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17% </w:t>
            </w:r>
          </w:p>
        </w:tc>
        <w:tc>
          <w:tcPr>
            <w:tcW w:w="1276" w:type="dxa"/>
            <w:vAlign w:val="center"/>
          </w:tcPr>
          <w:p w14:paraId="63425A84" w14:textId="0F8637E0" w:rsidR="00564931" w:rsidRPr="004140E8" w:rsidRDefault="00C25B79" w:rsidP="00224C2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18%</w:t>
            </w:r>
          </w:p>
        </w:tc>
        <w:tc>
          <w:tcPr>
            <w:tcW w:w="1276" w:type="dxa"/>
            <w:shd w:val="clear" w:color="auto" w:fill="auto"/>
            <w:noWrap/>
            <w:vAlign w:val="center"/>
          </w:tcPr>
          <w:p w14:paraId="3F813F0B" w14:textId="38139B87"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12%</w:t>
            </w:r>
          </w:p>
        </w:tc>
      </w:tr>
      <w:tr w:rsidR="00564931" w:rsidRPr="002A121C" w14:paraId="3A9A4253" w14:textId="77777777" w:rsidTr="004140E8">
        <w:trPr>
          <w:trHeight w:val="360"/>
          <w:jc w:val="center"/>
        </w:trPr>
        <w:tc>
          <w:tcPr>
            <w:tcW w:w="2126" w:type="dxa"/>
            <w:shd w:val="clear" w:color="000000" w:fill="FFFFFF"/>
            <w:noWrap/>
            <w:vAlign w:val="center"/>
          </w:tcPr>
          <w:p w14:paraId="5E59E826" w14:textId="77777777" w:rsidR="00564931" w:rsidRPr="004140E8" w:rsidRDefault="00564931"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NOPAT %</w:t>
            </w:r>
          </w:p>
        </w:tc>
        <w:tc>
          <w:tcPr>
            <w:tcW w:w="1276" w:type="dxa"/>
            <w:vAlign w:val="center"/>
          </w:tcPr>
          <w:p w14:paraId="3A2BCFF9" w14:textId="539CC0FB"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(1.6%) </w:t>
            </w:r>
          </w:p>
        </w:tc>
        <w:tc>
          <w:tcPr>
            <w:tcW w:w="1276" w:type="dxa"/>
            <w:vAlign w:val="center"/>
          </w:tcPr>
          <w:p w14:paraId="3DD658F3" w14:textId="602AA406"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2.7% </w:t>
            </w:r>
          </w:p>
        </w:tc>
        <w:tc>
          <w:tcPr>
            <w:tcW w:w="1276" w:type="dxa"/>
            <w:shd w:val="clear" w:color="auto" w:fill="auto"/>
            <w:noWrap/>
            <w:vAlign w:val="center"/>
          </w:tcPr>
          <w:p w14:paraId="631F45C8" w14:textId="2BA7D4C0"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6.5% </w:t>
            </w:r>
          </w:p>
        </w:tc>
        <w:tc>
          <w:tcPr>
            <w:tcW w:w="1276" w:type="dxa"/>
            <w:vAlign w:val="center"/>
          </w:tcPr>
          <w:p w14:paraId="5FEF1EFC" w14:textId="2B1A3EA7" w:rsidR="00564931" w:rsidRPr="004140E8" w:rsidRDefault="00C25B79" w:rsidP="00224C2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6.2%</w:t>
            </w:r>
          </w:p>
        </w:tc>
        <w:tc>
          <w:tcPr>
            <w:tcW w:w="1276" w:type="dxa"/>
            <w:shd w:val="clear" w:color="auto" w:fill="auto"/>
            <w:noWrap/>
            <w:vAlign w:val="center"/>
          </w:tcPr>
          <w:p w14:paraId="41C4EBE3" w14:textId="039756F1"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2.5%</w:t>
            </w:r>
          </w:p>
        </w:tc>
      </w:tr>
      <w:tr w:rsidR="00564931" w:rsidRPr="002A121C" w14:paraId="6EA6AF35" w14:textId="77777777" w:rsidTr="004140E8">
        <w:trPr>
          <w:trHeight w:val="360"/>
          <w:jc w:val="center"/>
        </w:trPr>
        <w:tc>
          <w:tcPr>
            <w:tcW w:w="2126" w:type="dxa"/>
            <w:shd w:val="clear" w:color="000000" w:fill="FFFFFF"/>
            <w:noWrap/>
            <w:vAlign w:val="center"/>
            <w:hideMark/>
          </w:tcPr>
          <w:p w14:paraId="4AEF4258" w14:textId="77777777" w:rsidR="00564931" w:rsidRPr="004140E8" w:rsidRDefault="00564931"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lastRenderedPageBreak/>
              <w:t>ROE %</w:t>
            </w:r>
          </w:p>
        </w:tc>
        <w:tc>
          <w:tcPr>
            <w:tcW w:w="1276" w:type="dxa"/>
            <w:vAlign w:val="center"/>
          </w:tcPr>
          <w:p w14:paraId="57D0FBCA" w14:textId="62852188"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(0.3%) </w:t>
            </w:r>
          </w:p>
        </w:tc>
        <w:tc>
          <w:tcPr>
            <w:tcW w:w="1276" w:type="dxa"/>
            <w:vAlign w:val="center"/>
          </w:tcPr>
          <w:p w14:paraId="07585BB6" w14:textId="3F96A39D"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0.5% </w:t>
            </w:r>
          </w:p>
        </w:tc>
        <w:tc>
          <w:tcPr>
            <w:tcW w:w="1276" w:type="dxa"/>
            <w:shd w:val="clear" w:color="auto" w:fill="auto"/>
            <w:noWrap/>
            <w:vAlign w:val="center"/>
          </w:tcPr>
          <w:p w14:paraId="63C31B19" w14:textId="4C3956A9"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1.3%  </w:t>
            </w:r>
          </w:p>
        </w:tc>
        <w:tc>
          <w:tcPr>
            <w:tcW w:w="1276" w:type="dxa"/>
            <w:vAlign w:val="center"/>
          </w:tcPr>
          <w:p w14:paraId="406E9F15" w14:textId="28E261F0" w:rsidR="00564931" w:rsidRPr="004140E8" w:rsidRDefault="00C25B79" w:rsidP="00224C2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1.3%</w:t>
            </w:r>
          </w:p>
        </w:tc>
        <w:tc>
          <w:tcPr>
            <w:tcW w:w="1276" w:type="dxa"/>
            <w:shd w:val="clear" w:color="auto" w:fill="auto"/>
            <w:noWrap/>
            <w:vAlign w:val="center"/>
            <w:hideMark/>
          </w:tcPr>
          <w:p w14:paraId="4EF380F2" w14:textId="738495AA" w:rsidR="00564931" w:rsidRPr="004140E8" w:rsidRDefault="00564931"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0.5% </w:t>
            </w:r>
          </w:p>
        </w:tc>
      </w:tr>
      <w:tr w:rsidR="00564931" w:rsidRPr="002A121C" w14:paraId="280DFB74" w14:textId="77777777" w:rsidTr="004140E8">
        <w:trPr>
          <w:trHeight w:val="360"/>
          <w:jc w:val="center"/>
        </w:trPr>
        <w:tc>
          <w:tcPr>
            <w:tcW w:w="2126" w:type="dxa"/>
            <w:shd w:val="clear" w:color="000000" w:fill="FFFFFF"/>
            <w:noWrap/>
            <w:vAlign w:val="center"/>
            <w:hideMark/>
          </w:tcPr>
          <w:p w14:paraId="0B9C88A8" w14:textId="77777777" w:rsidR="00564931" w:rsidRPr="004140E8" w:rsidRDefault="00564931" w:rsidP="0043595C">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ROA %</w:t>
            </w:r>
          </w:p>
        </w:tc>
        <w:tc>
          <w:tcPr>
            <w:tcW w:w="1276" w:type="dxa"/>
            <w:vAlign w:val="center"/>
          </w:tcPr>
          <w:p w14:paraId="0F334703" w14:textId="240EBCF5" w:rsidR="00564931" w:rsidRPr="004140E8" w:rsidRDefault="00564931" w:rsidP="0043595C">
            <w:pPr>
              <w:jc w:val="right"/>
              <w:rPr>
                <w:rFonts w:asciiTheme="minorHAnsi" w:hAnsiTheme="minorHAnsi" w:cstheme="minorHAnsi"/>
                <w:color w:val="FF0000"/>
                <w:sz w:val="18"/>
                <w:szCs w:val="18"/>
                <w:lang w:eastAsia="en-GB"/>
              </w:rPr>
            </w:pPr>
            <w:r w:rsidRPr="004140E8">
              <w:rPr>
                <w:rFonts w:asciiTheme="minorHAnsi" w:hAnsiTheme="minorHAnsi" w:cstheme="minorHAnsi"/>
                <w:color w:val="000000" w:themeColor="text1"/>
                <w:sz w:val="18"/>
                <w:szCs w:val="18"/>
                <w:lang w:eastAsia="en-GB"/>
              </w:rPr>
              <w:t xml:space="preserve">(0.2%) </w:t>
            </w:r>
          </w:p>
        </w:tc>
        <w:tc>
          <w:tcPr>
            <w:tcW w:w="1276" w:type="dxa"/>
            <w:vAlign w:val="center"/>
          </w:tcPr>
          <w:p w14:paraId="3D37F77C" w14:textId="46D5F6BA" w:rsidR="00564931" w:rsidRPr="004140E8" w:rsidRDefault="00564931" w:rsidP="0043595C">
            <w:pPr>
              <w:jc w:val="right"/>
              <w:rPr>
                <w:rFonts w:asciiTheme="minorHAnsi" w:hAnsiTheme="minorHAnsi" w:cstheme="minorHAnsi"/>
                <w:color w:val="FF0000"/>
                <w:sz w:val="18"/>
                <w:szCs w:val="18"/>
                <w:lang w:eastAsia="en-GB"/>
              </w:rPr>
            </w:pPr>
            <w:r w:rsidRPr="004140E8">
              <w:rPr>
                <w:rFonts w:asciiTheme="minorHAnsi" w:hAnsiTheme="minorHAnsi" w:cstheme="minorHAnsi"/>
                <w:color w:val="000000" w:themeColor="text1"/>
                <w:sz w:val="18"/>
                <w:szCs w:val="18"/>
                <w:lang w:eastAsia="en-GB"/>
              </w:rPr>
              <w:t xml:space="preserve">0.4% </w:t>
            </w:r>
          </w:p>
        </w:tc>
        <w:tc>
          <w:tcPr>
            <w:tcW w:w="1276" w:type="dxa"/>
            <w:shd w:val="clear" w:color="auto" w:fill="auto"/>
            <w:noWrap/>
            <w:vAlign w:val="center"/>
          </w:tcPr>
          <w:p w14:paraId="271E2F22" w14:textId="20F75FF8"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1.0%  </w:t>
            </w:r>
          </w:p>
        </w:tc>
        <w:tc>
          <w:tcPr>
            <w:tcW w:w="1276" w:type="dxa"/>
            <w:vAlign w:val="center"/>
          </w:tcPr>
          <w:p w14:paraId="31C455C0" w14:textId="0FD402CA" w:rsidR="00564931" w:rsidRPr="004140E8" w:rsidRDefault="00C25B79" w:rsidP="00224C2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1.1%</w:t>
            </w:r>
          </w:p>
        </w:tc>
        <w:tc>
          <w:tcPr>
            <w:tcW w:w="1276" w:type="dxa"/>
            <w:shd w:val="clear" w:color="auto" w:fill="auto"/>
            <w:noWrap/>
            <w:vAlign w:val="center"/>
            <w:hideMark/>
          </w:tcPr>
          <w:p w14:paraId="4C02F215" w14:textId="6ED9BA13"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0.4% </w:t>
            </w:r>
          </w:p>
        </w:tc>
      </w:tr>
      <w:tr w:rsidR="00564931" w:rsidRPr="002A121C" w14:paraId="31AC7A09" w14:textId="77777777" w:rsidTr="004140E8">
        <w:trPr>
          <w:trHeight w:val="360"/>
          <w:jc w:val="center"/>
        </w:trPr>
        <w:tc>
          <w:tcPr>
            <w:tcW w:w="2126" w:type="dxa"/>
            <w:shd w:val="clear" w:color="000000" w:fill="FFFFFF"/>
            <w:noWrap/>
            <w:vAlign w:val="center"/>
          </w:tcPr>
          <w:p w14:paraId="3B74533A" w14:textId="77777777" w:rsidR="00564931" w:rsidRPr="004140E8" w:rsidRDefault="00564931" w:rsidP="0043595C">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Current Assets / Current liabilities</w:t>
            </w:r>
          </w:p>
        </w:tc>
        <w:tc>
          <w:tcPr>
            <w:tcW w:w="1276" w:type="dxa"/>
            <w:vAlign w:val="center"/>
          </w:tcPr>
          <w:p w14:paraId="78A9B9D9" w14:textId="09DAF4F6"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2.04 </w:t>
            </w:r>
          </w:p>
        </w:tc>
        <w:tc>
          <w:tcPr>
            <w:tcW w:w="1276" w:type="dxa"/>
            <w:vAlign w:val="center"/>
          </w:tcPr>
          <w:p w14:paraId="224BBB9C" w14:textId="29EE21D9"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2.11 </w:t>
            </w:r>
          </w:p>
        </w:tc>
        <w:tc>
          <w:tcPr>
            <w:tcW w:w="1276" w:type="dxa"/>
            <w:shd w:val="clear" w:color="auto" w:fill="auto"/>
            <w:noWrap/>
            <w:vAlign w:val="center"/>
          </w:tcPr>
          <w:p w14:paraId="4E691A3A" w14:textId="382D80AB"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2.26  </w:t>
            </w:r>
          </w:p>
        </w:tc>
        <w:tc>
          <w:tcPr>
            <w:tcW w:w="1276" w:type="dxa"/>
            <w:vAlign w:val="center"/>
          </w:tcPr>
          <w:p w14:paraId="17E670FA" w14:textId="537BC79D" w:rsidR="00564931" w:rsidRPr="004140E8" w:rsidRDefault="00C25B79" w:rsidP="00224C2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1.93</w:t>
            </w:r>
          </w:p>
        </w:tc>
        <w:tc>
          <w:tcPr>
            <w:tcW w:w="1276" w:type="dxa"/>
            <w:shd w:val="clear" w:color="auto" w:fill="auto"/>
            <w:noWrap/>
            <w:vAlign w:val="center"/>
          </w:tcPr>
          <w:p w14:paraId="311FF2A5" w14:textId="541A817D"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2.14  </w:t>
            </w:r>
          </w:p>
        </w:tc>
      </w:tr>
      <w:tr w:rsidR="00564931" w:rsidRPr="002A121C" w14:paraId="5ABB28EC" w14:textId="77777777" w:rsidTr="004140E8">
        <w:trPr>
          <w:trHeight w:val="360"/>
          <w:jc w:val="center"/>
        </w:trPr>
        <w:tc>
          <w:tcPr>
            <w:tcW w:w="2126" w:type="dxa"/>
            <w:shd w:val="clear" w:color="000000" w:fill="FFFFFF"/>
            <w:noWrap/>
            <w:vAlign w:val="center"/>
          </w:tcPr>
          <w:p w14:paraId="40D279CB" w14:textId="77777777" w:rsidR="00564931" w:rsidRPr="004140E8" w:rsidRDefault="00564931" w:rsidP="0043595C">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Quick Ratio</w:t>
            </w:r>
          </w:p>
        </w:tc>
        <w:tc>
          <w:tcPr>
            <w:tcW w:w="1276" w:type="dxa"/>
            <w:vAlign w:val="center"/>
          </w:tcPr>
          <w:p w14:paraId="6597485F" w14:textId="745929CA"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1.45</w:t>
            </w:r>
          </w:p>
        </w:tc>
        <w:tc>
          <w:tcPr>
            <w:tcW w:w="1276" w:type="dxa"/>
            <w:vAlign w:val="center"/>
          </w:tcPr>
          <w:p w14:paraId="77C0465D" w14:textId="083193B7"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1.39 </w:t>
            </w:r>
          </w:p>
        </w:tc>
        <w:tc>
          <w:tcPr>
            <w:tcW w:w="1276" w:type="dxa"/>
            <w:shd w:val="clear" w:color="auto" w:fill="auto"/>
            <w:noWrap/>
            <w:vAlign w:val="center"/>
          </w:tcPr>
          <w:p w14:paraId="26586688" w14:textId="0F265EAF"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1.49 </w:t>
            </w:r>
          </w:p>
        </w:tc>
        <w:tc>
          <w:tcPr>
            <w:tcW w:w="1276" w:type="dxa"/>
            <w:vAlign w:val="center"/>
          </w:tcPr>
          <w:p w14:paraId="673078FB" w14:textId="683A6210" w:rsidR="00564931" w:rsidRPr="004140E8" w:rsidRDefault="00A54554" w:rsidP="00224C2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1.20</w:t>
            </w:r>
          </w:p>
        </w:tc>
        <w:tc>
          <w:tcPr>
            <w:tcW w:w="1276" w:type="dxa"/>
            <w:shd w:val="clear" w:color="auto" w:fill="auto"/>
            <w:noWrap/>
            <w:vAlign w:val="center"/>
          </w:tcPr>
          <w:p w14:paraId="286235EA" w14:textId="7E88F51E"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1.44</w:t>
            </w:r>
          </w:p>
        </w:tc>
      </w:tr>
      <w:tr w:rsidR="00564931" w:rsidRPr="002A121C" w14:paraId="0F4E5A6B" w14:textId="77777777" w:rsidTr="004140E8">
        <w:trPr>
          <w:trHeight w:val="360"/>
          <w:jc w:val="center"/>
        </w:trPr>
        <w:tc>
          <w:tcPr>
            <w:tcW w:w="2126" w:type="dxa"/>
            <w:shd w:val="clear" w:color="000000" w:fill="FFFFFF"/>
            <w:noWrap/>
            <w:vAlign w:val="center"/>
          </w:tcPr>
          <w:p w14:paraId="591DDA8C" w14:textId="77777777" w:rsidR="00564931" w:rsidRPr="004140E8" w:rsidRDefault="00564931" w:rsidP="0043595C">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Accounts Receivable Days</w:t>
            </w:r>
          </w:p>
        </w:tc>
        <w:tc>
          <w:tcPr>
            <w:tcW w:w="1276" w:type="dxa"/>
            <w:vAlign w:val="center"/>
          </w:tcPr>
          <w:p w14:paraId="69560D84" w14:textId="7657C04D"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159 </w:t>
            </w:r>
          </w:p>
        </w:tc>
        <w:tc>
          <w:tcPr>
            <w:tcW w:w="1276" w:type="dxa"/>
            <w:vAlign w:val="center"/>
          </w:tcPr>
          <w:p w14:paraId="255166EF" w14:textId="083A17FC"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148 </w:t>
            </w:r>
          </w:p>
        </w:tc>
        <w:tc>
          <w:tcPr>
            <w:tcW w:w="1276" w:type="dxa"/>
            <w:shd w:val="clear" w:color="auto" w:fill="auto"/>
            <w:noWrap/>
            <w:vAlign w:val="center"/>
          </w:tcPr>
          <w:p w14:paraId="3EE69A78" w14:textId="015B0DCF"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164 </w:t>
            </w:r>
          </w:p>
        </w:tc>
        <w:tc>
          <w:tcPr>
            <w:tcW w:w="1276" w:type="dxa"/>
            <w:vAlign w:val="center"/>
          </w:tcPr>
          <w:p w14:paraId="52C107AD" w14:textId="22D0E185" w:rsidR="00564931" w:rsidRPr="004140E8" w:rsidRDefault="00A54554" w:rsidP="00224C2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141</w:t>
            </w:r>
          </w:p>
        </w:tc>
        <w:tc>
          <w:tcPr>
            <w:tcW w:w="1276" w:type="dxa"/>
            <w:shd w:val="clear" w:color="auto" w:fill="auto"/>
            <w:noWrap/>
            <w:vAlign w:val="center"/>
          </w:tcPr>
          <w:p w14:paraId="2FC0B78D" w14:textId="499E2367"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157</w:t>
            </w:r>
          </w:p>
        </w:tc>
      </w:tr>
      <w:tr w:rsidR="00564931" w:rsidRPr="002A121C" w14:paraId="17D096E4" w14:textId="77777777" w:rsidTr="004140E8">
        <w:trPr>
          <w:trHeight w:val="360"/>
          <w:jc w:val="center"/>
        </w:trPr>
        <w:tc>
          <w:tcPr>
            <w:tcW w:w="2126" w:type="dxa"/>
            <w:shd w:val="clear" w:color="000000" w:fill="FFFFFF"/>
            <w:noWrap/>
            <w:vAlign w:val="center"/>
          </w:tcPr>
          <w:p w14:paraId="4BEF6535" w14:textId="77777777" w:rsidR="00564931" w:rsidRPr="004140E8" w:rsidRDefault="00564931" w:rsidP="0043595C">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Assets Turnover</w:t>
            </w:r>
          </w:p>
        </w:tc>
        <w:tc>
          <w:tcPr>
            <w:tcW w:w="1276" w:type="dxa"/>
            <w:vAlign w:val="center"/>
          </w:tcPr>
          <w:p w14:paraId="3A0A6DC8" w14:textId="492E2DE2"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0.15 </w:t>
            </w:r>
          </w:p>
        </w:tc>
        <w:tc>
          <w:tcPr>
            <w:tcW w:w="1276" w:type="dxa"/>
            <w:vAlign w:val="center"/>
          </w:tcPr>
          <w:p w14:paraId="3D226F18" w14:textId="5C0E4B4B"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0.16 </w:t>
            </w:r>
          </w:p>
        </w:tc>
        <w:tc>
          <w:tcPr>
            <w:tcW w:w="1276" w:type="dxa"/>
            <w:shd w:val="clear" w:color="auto" w:fill="auto"/>
            <w:noWrap/>
            <w:vAlign w:val="center"/>
          </w:tcPr>
          <w:p w14:paraId="6D0CB299" w14:textId="1A72FB40"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0.16 </w:t>
            </w:r>
          </w:p>
        </w:tc>
        <w:tc>
          <w:tcPr>
            <w:tcW w:w="1276" w:type="dxa"/>
            <w:vAlign w:val="center"/>
          </w:tcPr>
          <w:p w14:paraId="6D076DDE" w14:textId="42687FC3" w:rsidR="00564931" w:rsidRPr="004140E8" w:rsidRDefault="00A54554" w:rsidP="00224C2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0.17</w:t>
            </w:r>
          </w:p>
        </w:tc>
        <w:tc>
          <w:tcPr>
            <w:tcW w:w="1276" w:type="dxa"/>
            <w:shd w:val="clear" w:color="auto" w:fill="auto"/>
            <w:noWrap/>
            <w:vAlign w:val="center"/>
          </w:tcPr>
          <w:p w14:paraId="1B2C9158" w14:textId="525048D8"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0.15</w:t>
            </w:r>
          </w:p>
        </w:tc>
      </w:tr>
      <w:tr w:rsidR="00564931" w:rsidRPr="002A121C" w14:paraId="30C050AA" w14:textId="77777777" w:rsidTr="004140E8">
        <w:trPr>
          <w:trHeight w:val="360"/>
          <w:jc w:val="center"/>
        </w:trPr>
        <w:tc>
          <w:tcPr>
            <w:tcW w:w="2126" w:type="dxa"/>
            <w:shd w:val="clear" w:color="000000" w:fill="FFFFFF"/>
            <w:noWrap/>
            <w:vAlign w:val="center"/>
            <w:hideMark/>
          </w:tcPr>
          <w:p w14:paraId="38396BF7" w14:textId="77777777" w:rsidR="00564931" w:rsidRPr="004140E8" w:rsidRDefault="00564931" w:rsidP="0043595C">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Debt / Equity Ratio</w:t>
            </w:r>
          </w:p>
        </w:tc>
        <w:tc>
          <w:tcPr>
            <w:tcW w:w="1276" w:type="dxa"/>
            <w:vAlign w:val="center"/>
          </w:tcPr>
          <w:p w14:paraId="0DEFB2FB" w14:textId="5CAD14BF" w:rsidR="00564931" w:rsidRPr="004140E8" w:rsidRDefault="00564931" w:rsidP="0043595C">
            <w:pPr>
              <w:jc w:val="right"/>
              <w:rPr>
                <w:rFonts w:asciiTheme="minorHAnsi" w:hAnsiTheme="minorHAnsi" w:cstheme="minorHAnsi"/>
                <w:color w:val="FF0000"/>
                <w:sz w:val="18"/>
                <w:szCs w:val="18"/>
                <w:lang w:eastAsia="en-GB"/>
              </w:rPr>
            </w:pPr>
            <w:r w:rsidRPr="004140E8">
              <w:rPr>
                <w:rFonts w:asciiTheme="minorHAnsi" w:hAnsiTheme="minorHAnsi" w:cstheme="minorHAnsi"/>
                <w:color w:val="000000" w:themeColor="text1"/>
                <w:sz w:val="18"/>
                <w:szCs w:val="18"/>
                <w:lang w:eastAsia="en-GB"/>
              </w:rPr>
              <w:t xml:space="preserve">0.10 </w:t>
            </w:r>
          </w:p>
        </w:tc>
        <w:tc>
          <w:tcPr>
            <w:tcW w:w="1276" w:type="dxa"/>
            <w:vAlign w:val="center"/>
          </w:tcPr>
          <w:p w14:paraId="3FB20F44" w14:textId="547DEE6F" w:rsidR="00564931" w:rsidRPr="004140E8" w:rsidRDefault="00564931" w:rsidP="0043595C">
            <w:pPr>
              <w:jc w:val="right"/>
              <w:rPr>
                <w:rFonts w:asciiTheme="minorHAnsi" w:hAnsiTheme="minorHAnsi" w:cstheme="minorHAnsi"/>
                <w:color w:val="FF0000"/>
                <w:sz w:val="18"/>
                <w:szCs w:val="18"/>
                <w:lang w:eastAsia="en-GB"/>
              </w:rPr>
            </w:pPr>
            <w:r w:rsidRPr="004140E8">
              <w:rPr>
                <w:rFonts w:asciiTheme="minorHAnsi" w:hAnsiTheme="minorHAnsi" w:cstheme="minorHAnsi"/>
                <w:color w:val="000000" w:themeColor="text1"/>
                <w:sz w:val="18"/>
                <w:szCs w:val="18"/>
                <w:lang w:eastAsia="en-GB"/>
              </w:rPr>
              <w:t xml:space="preserve">0.16 </w:t>
            </w:r>
          </w:p>
        </w:tc>
        <w:tc>
          <w:tcPr>
            <w:tcW w:w="1276" w:type="dxa"/>
            <w:shd w:val="clear" w:color="auto" w:fill="auto"/>
            <w:noWrap/>
            <w:vAlign w:val="center"/>
          </w:tcPr>
          <w:p w14:paraId="2D007381" w14:textId="3FD8708F"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0.16  </w:t>
            </w:r>
          </w:p>
        </w:tc>
        <w:tc>
          <w:tcPr>
            <w:tcW w:w="1276" w:type="dxa"/>
            <w:vAlign w:val="center"/>
          </w:tcPr>
          <w:p w14:paraId="40735C30" w14:textId="3DFA2A84" w:rsidR="00564931" w:rsidRPr="004140E8" w:rsidRDefault="00A54554" w:rsidP="00A54554">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0.15</w:t>
            </w:r>
          </w:p>
        </w:tc>
        <w:tc>
          <w:tcPr>
            <w:tcW w:w="1276" w:type="dxa"/>
            <w:shd w:val="clear" w:color="auto" w:fill="auto"/>
            <w:noWrap/>
            <w:vAlign w:val="center"/>
            <w:hideMark/>
          </w:tcPr>
          <w:p w14:paraId="055BE080" w14:textId="510ED0F6" w:rsidR="00564931" w:rsidRPr="004140E8" w:rsidRDefault="00564931" w:rsidP="0043595C">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0.14  </w:t>
            </w:r>
          </w:p>
        </w:tc>
      </w:tr>
    </w:tbl>
    <w:p w14:paraId="5CE34C25" w14:textId="77777777" w:rsidR="00785316" w:rsidRPr="00D25BE7" w:rsidRDefault="00785316" w:rsidP="00785316">
      <w:pPr>
        <w:rPr>
          <w:rFonts w:asciiTheme="minorHAnsi" w:hAnsiTheme="minorHAnsi"/>
          <w:color w:val="000000" w:themeColor="text1"/>
          <w:lang w:val="en-GB"/>
        </w:rPr>
      </w:pPr>
      <w:r w:rsidRPr="00D25BE7">
        <w:rPr>
          <w:rFonts w:asciiTheme="minorHAnsi" w:hAnsiTheme="minorHAnsi"/>
        </w:rPr>
        <w:t xml:space="preserve"> </w:t>
      </w:r>
    </w:p>
    <w:p w14:paraId="570C7826" w14:textId="77777777" w:rsidR="00E911B9" w:rsidRPr="00D25BE7" w:rsidRDefault="00E911B9" w:rsidP="00E96BD2">
      <w:pPr>
        <w:rPr>
          <w:rFonts w:asciiTheme="minorHAnsi" w:eastAsia="CenturyGothic" w:hAnsiTheme="minorHAnsi" w:cs="Arial"/>
          <w:szCs w:val="22"/>
        </w:rPr>
      </w:pPr>
    </w:p>
    <w:p w14:paraId="7AD20ED4" w14:textId="5673DFC4" w:rsidR="00F9434E" w:rsidRDefault="00B06816" w:rsidP="00BD376C">
      <w:pPr>
        <w:pStyle w:val="ListParagraph"/>
        <w:ind w:left="426" w:hanging="426"/>
        <w:rPr>
          <w:rFonts w:asciiTheme="minorHAnsi" w:hAnsiTheme="minorHAnsi"/>
          <w:color w:val="000000" w:themeColor="text1"/>
          <w:szCs w:val="22"/>
          <w:lang w:val="en-GB"/>
        </w:rPr>
      </w:pPr>
      <w:bookmarkStart w:id="24" w:name="_Toc453783135"/>
      <w:bookmarkStart w:id="25" w:name="_Toc457999750"/>
      <w:r w:rsidRPr="00D25BE7">
        <w:rPr>
          <w:rFonts w:asciiTheme="minorHAnsi" w:hAnsiTheme="minorHAnsi"/>
          <w:color w:val="000000" w:themeColor="text1"/>
          <w:szCs w:val="22"/>
          <w:lang w:val="en-GB"/>
        </w:rPr>
        <w:t>WASCO was issued an adverse audit opinion for the period to 31 March 201</w:t>
      </w:r>
      <w:r w:rsidR="00357DF3" w:rsidRPr="00D25BE7">
        <w:rPr>
          <w:rFonts w:asciiTheme="minorHAnsi" w:hAnsiTheme="minorHAnsi"/>
          <w:color w:val="000000" w:themeColor="text1"/>
          <w:szCs w:val="22"/>
          <w:lang w:val="en-GB"/>
        </w:rPr>
        <w:t>7</w:t>
      </w:r>
      <w:r w:rsidRPr="00D25BE7">
        <w:rPr>
          <w:rFonts w:asciiTheme="minorHAnsi" w:hAnsiTheme="minorHAnsi"/>
          <w:color w:val="000000" w:themeColor="text1"/>
          <w:szCs w:val="22"/>
          <w:lang w:val="en-GB"/>
        </w:rPr>
        <w:t xml:space="preserve"> relating to its accounting for</w:t>
      </w:r>
      <w:r w:rsidR="009314FE">
        <w:rPr>
          <w:rFonts w:asciiTheme="minorHAnsi" w:hAnsiTheme="minorHAnsi"/>
          <w:color w:val="000000" w:themeColor="text1"/>
          <w:szCs w:val="22"/>
          <w:lang w:val="en-GB"/>
        </w:rPr>
        <w:t>:</w:t>
      </w:r>
      <w:r w:rsidRPr="00D25BE7">
        <w:rPr>
          <w:rFonts w:asciiTheme="minorHAnsi" w:hAnsiTheme="minorHAnsi"/>
          <w:color w:val="000000" w:themeColor="text1"/>
          <w:szCs w:val="22"/>
          <w:lang w:val="en-GB"/>
        </w:rPr>
        <w:t xml:space="preserve"> Property, Plant &amp; Equipment</w:t>
      </w:r>
      <w:r w:rsidR="004C646C">
        <w:rPr>
          <w:rFonts w:asciiTheme="minorHAnsi" w:hAnsiTheme="minorHAnsi"/>
          <w:color w:val="000000" w:themeColor="text1"/>
          <w:szCs w:val="22"/>
          <w:lang w:val="en-GB"/>
        </w:rPr>
        <w:t>;</w:t>
      </w:r>
      <w:r w:rsidRPr="00D25BE7">
        <w:rPr>
          <w:rFonts w:asciiTheme="minorHAnsi" w:hAnsiTheme="minorHAnsi"/>
          <w:color w:val="000000" w:themeColor="text1"/>
          <w:szCs w:val="22"/>
          <w:lang w:val="en-GB"/>
        </w:rPr>
        <w:t xml:space="preserve"> Accounts Receivable</w:t>
      </w:r>
      <w:r w:rsidR="004C646C">
        <w:rPr>
          <w:rFonts w:asciiTheme="minorHAnsi" w:hAnsiTheme="minorHAnsi"/>
          <w:color w:val="000000" w:themeColor="text1"/>
          <w:szCs w:val="22"/>
          <w:lang w:val="en-GB"/>
        </w:rPr>
        <w:t>;</w:t>
      </w:r>
      <w:r w:rsidRPr="00D25BE7">
        <w:rPr>
          <w:rFonts w:asciiTheme="minorHAnsi" w:hAnsiTheme="minorHAnsi"/>
          <w:color w:val="000000" w:themeColor="text1"/>
          <w:szCs w:val="22"/>
          <w:lang w:val="en-GB"/>
        </w:rPr>
        <w:t xml:space="preserve"> Inventory, Cash and Cash Equivalents, Non-compliance with IAS 20 – Accounting for Government Grants and Government Assistance</w:t>
      </w:r>
      <w:r w:rsidR="004C646C">
        <w:rPr>
          <w:rFonts w:asciiTheme="minorHAnsi" w:hAnsiTheme="minorHAnsi"/>
          <w:color w:val="000000" w:themeColor="text1"/>
          <w:szCs w:val="22"/>
          <w:lang w:val="en-GB"/>
        </w:rPr>
        <w:t>;</w:t>
      </w:r>
      <w:r w:rsidRPr="00D25BE7">
        <w:rPr>
          <w:rFonts w:asciiTheme="minorHAnsi" w:hAnsiTheme="minorHAnsi"/>
          <w:color w:val="000000" w:themeColor="text1"/>
          <w:szCs w:val="22"/>
          <w:lang w:val="en-GB"/>
        </w:rPr>
        <w:t xml:space="preserve"> and Accounts Payables. </w:t>
      </w:r>
    </w:p>
    <w:p w14:paraId="0396C1FE" w14:textId="02F28E88" w:rsidR="00B06816" w:rsidRPr="00D25BE7" w:rsidRDefault="00F9434E" w:rsidP="00BD376C">
      <w:pPr>
        <w:pStyle w:val="ListParagraph"/>
        <w:ind w:left="426" w:hanging="426"/>
        <w:rPr>
          <w:rFonts w:asciiTheme="minorHAnsi" w:hAnsiTheme="minorHAnsi"/>
          <w:color w:val="000000" w:themeColor="text1"/>
          <w:szCs w:val="22"/>
          <w:lang w:val="en-GB"/>
        </w:rPr>
      </w:pPr>
      <w:r>
        <w:rPr>
          <w:rFonts w:asciiTheme="minorHAnsi" w:hAnsiTheme="minorHAnsi"/>
          <w:color w:val="000000" w:themeColor="text1"/>
          <w:szCs w:val="22"/>
          <w:lang w:val="en-GB"/>
        </w:rPr>
        <w:t xml:space="preserve">An adverse audit opinion for the period to 31 March 2018 was </w:t>
      </w:r>
      <w:r w:rsidR="004C646C">
        <w:rPr>
          <w:rFonts w:asciiTheme="minorHAnsi" w:hAnsiTheme="minorHAnsi"/>
          <w:color w:val="000000" w:themeColor="text1"/>
          <w:szCs w:val="22"/>
          <w:lang w:val="en-GB"/>
        </w:rPr>
        <w:t>also issued relating to:</w:t>
      </w:r>
      <w:r w:rsidR="004C646C" w:rsidRPr="004C646C">
        <w:rPr>
          <w:rFonts w:asciiTheme="minorHAnsi" w:hAnsiTheme="minorHAnsi"/>
          <w:color w:val="000000" w:themeColor="text1"/>
          <w:szCs w:val="22"/>
          <w:lang w:val="en-GB"/>
        </w:rPr>
        <w:t xml:space="preserve"> </w:t>
      </w:r>
      <w:r w:rsidR="004C646C" w:rsidRPr="00D25BE7">
        <w:rPr>
          <w:rFonts w:asciiTheme="minorHAnsi" w:hAnsiTheme="minorHAnsi"/>
          <w:color w:val="000000" w:themeColor="text1"/>
          <w:szCs w:val="22"/>
          <w:lang w:val="en-GB"/>
        </w:rPr>
        <w:t>its accounting for</w:t>
      </w:r>
      <w:r w:rsidR="009314FE">
        <w:rPr>
          <w:rFonts w:asciiTheme="minorHAnsi" w:hAnsiTheme="minorHAnsi"/>
          <w:color w:val="000000" w:themeColor="text1"/>
          <w:szCs w:val="22"/>
          <w:lang w:val="en-GB"/>
        </w:rPr>
        <w:t>:</w:t>
      </w:r>
      <w:r w:rsidR="004C646C" w:rsidRPr="00D25BE7">
        <w:rPr>
          <w:rFonts w:asciiTheme="minorHAnsi" w:hAnsiTheme="minorHAnsi"/>
          <w:color w:val="000000" w:themeColor="text1"/>
          <w:szCs w:val="22"/>
          <w:lang w:val="en-GB"/>
        </w:rPr>
        <w:t xml:space="preserve"> </w:t>
      </w:r>
      <w:r w:rsidR="009314FE">
        <w:rPr>
          <w:rFonts w:asciiTheme="minorHAnsi" w:hAnsiTheme="minorHAnsi"/>
          <w:color w:val="000000" w:themeColor="text1"/>
          <w:szCs w:val="22"/>
          <w:lang w:val="en-GB"/>
        </w:rPr>
        <w:t xml:space="preserve">Valuation of </w:t>
      </w:r>
      <w:r w:rsidR="004C646C" w:rsidRPr="00D25BE7">
        <w:rPr>
          <w:rFonts w:asciiTheme="minorHAnsi" w:hAnsiTheme="minorHAnsi"/>
          <w:color w:val="000000" w:themeColor="text1"/>
          <w:szCs w:val="22"/>
          <w:lang w:val="en-GB"/>
        </w:rPr>
        <w:t>Property, Plant &amp; Equipment</w:t>
      </w:r>
      <w:r w:rsidR="009314FE">
        <w:rPr>
          <w:rFonts w:asciiTheme="minorHAnsi" w:hAnsiTheme="minorHAnsi"/>
          <w:color w:val="000000" w:themeColor="text1"/>
          <w:szCs w:val="22"/>
          <w:lang w:val="en-GB"/>
        </w:rPr>
        <w:t xml:space="preserve"> and depreciation of Fixed Assets; Inventory; Accounts Receivable</w:t>
      </w:r>
      <w:r w:rsidR="004C646C">
        <w:rPr>
          <w:rFonts w:asciiTheme="minorHAnsi" w:hAnsiTheme="minorHAnsi"/>
          <w:color w:val="000000" w:themeColor="text1"/>
          <w:szCs w:val="22"/>
          <w:lang w:val="en-GB"/>
        </w:rPr>
        <w:t>;</w:t>
      </w:r>
      <w:r w:rsidR="009314FE">
        <w:rPr>
          <w:rFonts w:asciiTheme="minorHAnsi" w:hAnsiTheme="minorHAnsi"/>
          <w:color w:val="000000" w:themeColor="text1"/>
          <w:szCs w:val="22"/>
          <w:lang w:val="en-GB"/>
        </w:rPr>
        <w:t xml:space="preserve"> </w:t>
      </w:r>
      <w:r w:rsidR="00521DCF">
        <w:rPr>
          <w:rFonts w:asciiTheme="minorHAnsi" w:hAnsiTheme="minorHAnsi"/>
          <w:color w:val="000000" w:themeColor="text1"/>
          <w:szCs w:val="22"/>
          <w:lang w:val="en-GB"/>
        </w:rPr>
        <w:t>Capital Grants and Long Term Loans;</w:t>
      </w:r>
      <w:r>
        <w:rPr>
          <w:rFonts w:asciiTheme="minorHAnsi" w:hAnsiTheme="minorHAnsi"/>
          <w:color w:val="000000" w:themeColor="text1"/>
          <w:szCs w:val="22"/>
          <w:lang w:val="en-GB"/>
        </w:rPr>
        <w:t xml:space="preserve"> </w:t>
      </w:r>
      <w:r w:rsidR="00521DCF">
        <w:rPr>
          <w:rFonts w:asciiTheme="minorHAnsi" w:hAnsiTheme="minorHAnsi"/>
          <w:color w:val="000000" w:themeColor="text1"/>
          <w:szCs w:val="22"/>
          <w:lang w:val="en-GB"/>
        </w:rPr>
        <w:t xml:space="preserve">Accounts Payable; Overstatement of Revenue; And Total Expenditure. </w:t>
      </w:r>
      <w:r w:rsidR="00B06816" w:rsidRPr="00D25BE7">
        <w:rPr>
          <w:rFonts w:asciiTheme="minorHAnsi" w:hAnsiTheme="minorHAnsi"/>
          <w:color w:val="000000" w:themeColor="text1"/>
          <w:szCs w:val="22"/>
          <w:lang w:val="en-GB"/>
        </w:rPr>
        <w:t>There is thus significant concern on the reliability of these financial statements.</w:t>
      </w:r>
    </w:p>
    <w:p w14:paraId="6CAB1939" w14:textId="40E24DDE" w:rsidR="009F184F" w:rsidRPr="00D25BE7" w:rsidRDefault="008B03FE" w:rsidP="009F184F">
      <w:pPr>
        <w:pStyle w:val="ListParagraph"/>
        <w:ind w:left="426" w:hanging="426"/>
        <w:rPr>
          <w:rFonts w:asciiTheme="minorHAnsi" w:hAnsiTheme="minorHAnsi"/>
          <w:color w:val="000000" w:themeColor="text1"/>
          <w:szCs w:val="22"/>
          <w:lang w:val="en-GB"/>
        </w:rPr>
      </w:pPr>
      <w:r w:rsidRPr="00D25BE7">
        <w:rPr>
          <w:rFonts w:asciiTheme="minorHAnsi" w:hAnsiTheme="minorHAnsi"/>
          <w:color w:val="000000" w:themeColor="text1"/>
          <w:szCs w:val="22"/>
          <w:lang w:val="en-GB"/>
        </w:rPr>
        <w:t xml:space="preserve">Perhaps of greater concern is that similar qualifications have been given in each of the </w:t>
      </w:r>
      <w:r w:rsidR="00521DCF">
        <w:rPr>
          <w:rFonts w:asciiTheme="minorHAnsi" w:hAnsiTheme="minorHAnsi"/>
          <w:color w:val="000000" w:themeColor="text1"/>
          <w:szCs w:val="22"/>
          <w:lang w:val="en-GB"/>
        </w:rPr>
        <w:t>previous</w:t>
      </w:r>
      <w:r w:rsidR="00521DCF" w:rsidRPr="00D25BE7">
        <w:rPr>
          <w:rFonts w:asciiTheme="minorHAnsi" w:hAnsiTheme="minorHAnsi"/>
          <w:color w:val="000000" w:themeColor="text1"/>
          <w:szCs w:val="22"/>
          <w:lang w:val="en-GB"/>
        </w:rPr>
        <w:t xml:space="preserve"> </w:t>
      </w:r>
      <w:r w:rsidRPr="00D25BE7">
        <w:rPr>
          <w:rFonts w:asciiTheme="minorHAnsi" w:hAnsiTheme="minorHAnsi"/>
          <w:color w:val="000000" w:themeColor="text1"/>
          <w:szCs w:val="22"/>
          <w:lang w:val="en-GB"/>
        </w:rPr>
        <w:t>3 years (and perhaps longer). There is thus a lack of effort by the board to attend to these matters and this is unacceptable for a</w:t>
      </w:r>
      <w:r w:rsidR="00B86F33">
        <w:rPr>
          <w:rFonts w:asciiTheme="minorHAnsi" w:hAnsiTheme="minorHAnsi"/>
          <w:color w:val="000000" w:themeColor="text1"/>
          <w:szCs w:val="22"/>
          <w:lang w:val="en-GB"/>
        </w:rPr>
        <w:t xml:space="preserve">ny </w:t>
      </w:r>
      <w:r w:rsidRPr="00D25BE7">
        <w:rPr>
          <w:rFonts w:asciiTheme="minorHAnsi" w:hAnsiTheme="minorHAnsi"/>
          <w:color w:val="000000" w:themeColor="text1"/>
          <w:szCs w:val="22"/>
          <w:lang w:val="en-GB"/>
        </w:rPr>
        <w:t>enterprise</w:t>
      </w:r>
      <w:r w:rsidR="00B86F33">
        <w:rPr>
          <w:rFonts w:asciiTheme="minorHAnsi" w:hAnsiTheme="minorHAnsi"/>
          <w:color w:val="000000" w:themeColor="text1"/>
          <w:szCs w:val="22"/>
          <w:lang w:val="en-GB"/>
        </w:rPr>
        <w:t xml:space="preserve"> and especially one that is using up scare state capital</w:t>
      </w:r>
      <w:r w:rsidRPr="00D25BE7">
        <w:rPr>
          <w:rFonts w:asciiTheme="minorHAnsi" w:hAnsiTheme="minorHAnsi"/>
          <w:color w:val="000000" w:themeColor="text1"/>
          <w:szCs w:val="22"/>
          <w:lang w:val="en-GB"/>
        </w:rPr>
        <w:t xml:space="preserve">. </w:t>
      </w:r>
      <w:r w:rsidR="00B86F33">
        <w:rPr>
          <w:rFonts w:asciiTheme="minorHAnsi" w:hAnsiTheme="minorHAnsi"/>
          <w:color w:val="000000" w:themeColor="text1"/>
          <w:szCs w:val="22"/>
          <w:lang w:val="en-GB"/>
        </w:rPr>
        <w:t xml:space="preserve"> </w:t>
      </w:r>
    </w:p>
    <w:p w14:paraId="2B216295" w14:textId="2684DF35" w:rsidR="00454A43" w:rsidRPr="0023147B" w:rsidRDefault="00454A43" w:rsidP="0023147B">
      <w:pPr>
        <w:pStyle w:val="ListParagraph"/>
        <w:ind w:left="425" w:hanging="425"/>
        <w:rPr>
          <w:rFonts w:asciiTheme="minorHAnsi" w:hAnsiTheme="minorHAnsi"/>
          <w:color w:val="000000" w:themeColor="text1"/>
          <w:lang w:val="en-GB"/>
        </w:rPr>
      </w:pPr>
      <w:r w:rsidRPr="00D25BE7">
        <w:rPr>
          <w:rFonts w:asciiTheme="minorHAnsi" w:hAnsiTheme="minorHAnsi"/>
          <w:color w:val="000000" w:themeColor="text1"/>
          <w:szCs w:val="22"/>
          <w:lang w:val="en-GB"/>
        </w:rPr>
        <w:t xml:space="preserve">In addition, the significant value of government investment in WASCO </w:t>
      </w:r>
      <w:r w:rsidR="00B433C7">
        <w:rPr>
          <w:rFonts w:asciiTheme="minorHAnsi" w:hAnsiTheme="minorHAnsi"/>
          <w:color w:val="000000" w:themeColor="text1"/>
          <w:szCs w:val="22"/>
          <w:lang w:val="en-GB"/>
        </w:rPr>
        <w:t>relating to on-lending guaranteed by GoL</w:t>
      </w:r>
      <w:r w:rsidR="00C5586F">
        <w:rPr>
          <w:rFonts w:asciiTheme="minorHAnsi" w:hAnsiTheme="minorHAnsi"/>
        </w:rPr>
        <w:t xml:space="preserve"> </w:t>
      </w:r>
      <w:r w:rsidR="00C5586F" w:rsidRPr="00D25BE7">
        <w:rPr>
          <w:rFonts w:asciiTheme="minorHAnsi" w:hAnsiTheme="minorHAnsi"/>
          <w:color w:val="000000" w:themeColor="text1"/>
          <w:szCs w:val="22"/>
          <w:lang w:val="en-GB"/>
        </w:rPr>
        <w:t>heightens concerns regarding government fiscal risk</w:t>
      </w:r>
      <w:r w:rsidR="00C5586F">
        <w:rPr>
          <w:rFonts w:asciiTheme="minorHAnsi" w:hAnsiTheme="minorHAnsi"/>
          <w:color w:val="000000" w:themeColor="text1"/>
          <w:szCs w:val="22"/>
          <w:lang w:val="en-GB"/>
        </w:rPr>
        <w:t>.</w:t>
      </w:r>
      <w:r w:rsidR="00B433C7" w:rsidRPr="00963EDE">
        <w:rPr>
          <w:rFonts w:asciiTheme="minorHAnsi" w:hAnsiTheme="minorHAnsi"/>
        </w:rPr>
        <w:t xml:space="preserve"> At the end of the financial year WASCO was in arrears of M99,610,983 and M20,872,031 for principal and interest payments respectively</w:t>
      </w:r>
      <w:r w:rsidR="00B433C7">
        <w:rPr>
          <w:rFonts w:asciiTheme="minorHAnsi" w:hAnsiTheme="minorHAnsi"/>
        </w:rPr>
        <w:t xml:space="preserve"> relating to these loans</w:t>
      </w:r>
      <w:r w:rsidR="00B433C7" w:rsidRPr="00963EDE">
        <w:rPr>
          <w:rFonts w:asciiTheme="minorHAnsi" w:hAnsiTheme="minorHAnsi"/>
        </w:rPr>
        <w:t xml:space="preserve">. It is worth </w:t>
      </w:r>
      <w:r w:rsidR="00B433C7">
        <w:rPr>
          <w:rFonts w:asciiTheme="minorHAnsi" w:hAnsiTheme="minorHAnsi"/>
        </w:rPr>
        <w:t>repeating</w:t>
      </w:r>
      <w:r w:rsidR="00B433C7" w:rsidRPr="00963EDE">
        <w:rPr>
          <w:rFonts w:asciiTheme="minorHAnsi" w:hAnsiTheme="minorHAnsi"/>
        </w:rPr>
        <w:t xml:space="preserve"> that in 2016/17 WASCO did not make repayments of both principal and interest on all four </w:t>
      </w:r>
      <w:r w:rsidR="00B433C7">
        <w:rPr>
          <w:rFonts w:asciiTheme="minorHAnsi" w:hAnsiTheme="minorHAnsi"/>
        </w:rPr>
        <w:t xml:space="preserve">on-lending </w:t>
      </w:r>
      <w:r w:rsidR="00B433C7" w:rsidRPr="00963EDE">
        <w:rPr>
          <w:rFonts w:asciiTheme="minorHAnsi" w:hAnsiTheme="minorHAnsi"/>
        </w:rPr>
        <w:t>accounts.</w:t>
      </w:r>
      <w:r w:rsidR="00B433C7" w:rsidRPr="00963EDE">
        <w:rPr>
          <w:rFonts w:asciiTheme="minorHAnsi" w:hAnsiTheme="minorHAnsi"/>
          <w:color w:val="000000" w:themeColor="text1"/>
          <w:lang w:val="en-GB"/>
        </w:rPr>
        <w:t xml:space="preserve"> </w:t>
      </w:r>
    </w:p>
    <w:p w14:paraId="2B13E21B" w14:textId="77777777" w:rsidR="009F184F" w:rsidRPr="00D25BE7" w:rsidRDefault="009F184F" w:rsidP="009F184F">
      <w:pPr>
        <w:pStyle w:val="ListParagraph"/>
        <w:ind w:left="426" w:hanging="426"/>
        <w:rPr>
          <w:rFonts w:asciiTheme="minorHAnsi" w:hAnsiTheme="minorHAnsi"/>
          <w:color w:val="000000" w:themeColor="text1"/>
          <w:szCs w:val="22"/>
          <w:lang w:val="en-GB"/>
        </w:rPr>
      </w:pPr>
      <w:r w:rsidRPr="00D25BE7">
        <w:rPr>
          <w:rFonts w:asciiTheme="minorHAnsi" w:hAnsiTheme="minorHAnsi"/>
        </w:rPr>
        <w:t>WASCO has recently (January 2019) prepared a funding proposal for working capital to be provided by GoL. This is a poorly constructed document, but it does highlight some cash flow challenges. There are over 400 Government accounts that are not paid promptly and in excess of M22m is consistently due to WASCO from Government accounts. Credit risk with suppliers has deteriorated and old infrastructure is being repeatedly re-worked and repaired inefficiently in the absence of new infrastructure development.</w:t>
      </w:r>
    </w:p>
    <w:p w14:paraId="1C4857D4" w14:textId="77777777" w:rsidR="009F184F" w:rsidRPr="00D25BE7" w:rsidRDefault="009F184F" w:rsidP="009F184F">
      <w:pPr>
        <w:pStyle w:val="ListParagraph"/>
        <w:ind w:left="426" w:hanging="426"/>
        <w:rPr>
          <w:rFonts w:asciiTheme="minorHAnsi" w:hAnsiTheme="minorHAnsi"/>
          <w:color w:val="000000" w:themeColor="text1"/>
          <w:szCs w:val="22"/>
          <w:lang w:val="en-GB"/>
        </w:rPr>
      </w:pPr>
      <w:r w:rsidRPr="00D25BE7">
        <w:rPr>
          <w:rFonts w:asciiTheme="minorHAnsi" w:hAnsiTheme="minorHAnsi"/>
        </w:rPr>
        <w:t>The proposal suggests that part of the recent improved profitability for WASCO is charging interest on overdue Government and customer accounts. One element of the funding plan is the roll-out of prepaid meters to try to improve billing and cash flow deficiencies.</w:t>
      </w:r>
    </w:p>
    <w:p w14:paraId="0EF9BFC5" w14:textId="77777777" w:rsidR="00BD376C" w:rsidRPr="00D25BE7" w:rsidRDefault="00E96BD2" w:rsidP="00BD376C">
      <w:pPr>
        <w:pStyle w:val="ListParagraph"/>
        <w:ind w:left="426" w:hanging="426"/>
        <w:rPr>
          <w:rFonts w:asciiTheme="minorHAnsi" w:hAnsiTheme="minorHAnsi"/>
          <w:color w:val="000000" w:themeColor="text1"/>
          <w:szCs w:val="22"/>
          <w:lang w:val="en-GB"/>
        </w:rPr>
      </w:pPr>
      <w:r w:rsidRPr="004140E8">
        <w:rPr>
          <w:rFonts w:asciiTheme="minorHAnsi" w:hAnsiTheme="minorHAnsi"/>
          <w:b/>
          <w:color w:val="000000" w:themeColor="text1"/>
          <w:sz w:val="24"/>
          <w:szCs w:val="24"/>
        </w:rPr>
        <w:lastRenderedPageBreak/>
        <w:t>Lesotho Post Bank</w:t>
      </w:r>
      <w:r w:rsidRPr="004140E8">
        <w:rPr>
          <w:rFonts w:asciiTheme="minorHAnsi" w:hAnsiTheme="minorHAnsi"/>
          <w:b/>
          <w:color w:val="000000" w:themeColor="text1"/>
        </w:rPr>
        <w:t xml:space="preserve"> </w:t>
      </w:r>
      <w:bookmarkEnd w:id="24"/>
      <w:bookmarkEnd w:id="25"/>
      <w:r w:rsidRPr="00D25BE7">
        <w:rPr>
          <w:rFonts w:asciiTheme="minorHAnsi" w:hAnsiTheme="minorHAnsi"/>
        </w:rPr>
        <w:t>LPB</w:t>
      </w:r>
      <w:r w:rsidRPr="00D25BE7">
        <w:rPr>
          <w:rFonts w:asciiTheme="minorHAnsi" w:eastAsia="Calibri" w:hAnsiTheme="minorHAnsi"/>
          <w:lang w:val="en-ZW"/>
        </w:rPr>
        <w:t xml:space="preserve"> is 100 percent Government owned and was incorporated in 2004 under the Companies Act.  It is also licensed by the Central Bank in accordance with the Financial Institutions Act of 2012.  </w:t>
      </w:r>
      <w:r w:rsidRPr="00D25BE7">
        <w:rPr>
          <w:rFonts w:asciiTheme="minorHAnsi" w:hAnsiTheme="minorHAnsi"/>
        </w:rPr>
        <w:t xml:space="preserve">It has 149 employees.  </w:t>
      </w:r>
      <w:r w:rsidRPr="00D25BE7">
        <w:rPr>
          <w:rFonts w:asciiTheme="minorHAnsi" w:eastAsia="Calibri" w:hAnsiTheme="minorHAnsi"/>
          <w:lang w:val="en-ZW"/>
        </w:rPr>
        <w:t xml:space="preserve">The LPB’s mandate is to promote financial inclusion by </w:t>
      </w:r>
      <w:r w:rsidRPr="00D25BE7">
        <w:rPr>
          <w:rFonts w:asciiTheme="minorHAnsi" w:hAnsiTheme="minorHAnsi"/>
        </w:rPr>
        <w:t>serving the unbanked and under-banked economically active population of Lesotho.  An important objective is to provide financial services in a sustainable manner</w:t>
      </w:r>
      <w:r w:rsidRPr="00D25BE7">
        <w:rPr>
          <w:rFonts w:asciiTheme="minorHAnsi" w:eastAsia="Calibri" w:hAnsiTheme="minorHAnsi"/>
          <w:lang w:val="en-ZW"/>
        </w:rPr>
        <w:t xml:space="preserve">. LPB is one of four commercial banks in Lesotho, the other three of which are subsidiaries of South African Banks. </w:t>
      </w:r>
      <w:r w:rsidRPr="00D25BE7">
        <w:rPr>
          <w:rFonts w:asciiTheme="minorHAnsi" w:hAnsiTheme="minorHAnsi"/>
        </w:rPr>
        <w:t>LPB's network consists of 13 branches in seven districts and one customer service center in Maseru in addition to the main branch.</w:t>
      </w:r>
    </w:p>
    <w:p w14:paraId="0CC60154" w14:textId="092CA4D5" w:rsidR="00E96BD2" w:rsidRPr="00D25BE7" w:rsidRDefault="00E96BD2" w:rsidP="00E96BD2">
      <w:pPr>
        <w:pStyle w:val="ListParagraph"/>
        <w:ind w:left="426" w:hanging="426"/>
        <w:rPr>
          <w:rFonts w:asciiTheme="minorHAnsi" w:hAnsiTheme="minorHAnsi"/>
          <w:color w:val="000000" w:themeColor="text1"/>
          <w:szCs w:val="22"/>
          <w:lang w:val="en-GB"/>
        </w:rPr>
      </w:pPr>
      <w:r w:rsidRPr="00D25BE7">
        <w:rPr>
          <w:rFonts w:asciiTheme="minorHAnsi" w:hAnsiTheme="minorHAnsi" w:cs="Arial"/>
          <w:szCs w:val="22"/>
        </w:rPr>
        <w:t xml:space="preserve">LPB </w:t>
      </w:r>
      <w:r w:rsidR="00BD376C" w:rsidRPr="00D25BE7">
        <w:rPr>
          <w:rFonts w:asciiTheme="minorHAnsi" w:hAnsiTheme="minorHAnsi" w:cs="Arial"/>
          <w:szCs w:val="22"/>
        </w:rPr>
        <w:t xml:space="preserve">has been a </w:t>
      </w:r>
      <w:r w:rsidRPr="00D25BE7">
        <w:rPr>
          <w:rFonts w:asciiTheme="minorHAnsi" w:hAnsiTheme="minorHAnsi" w:cs="Arial"/>
          <w:szCs w:val="22"/>
        </w:rPr>
        <w:t xml:space="preserve">loss maker but performance </w:t>
      </w:r>
      <w:r w:rsidR="00BD376C" w:rsidRPr="00D25BE7">
        <w:rPr>
          <w:rFonts w:asciiTheme="minorHAnsi" w:hAnsiTheme="minorHAnsi" w:cs="Arial"/>
          <w:szCs w:val="22"/>
        </w:rPr>
        <w:t>has</w:t>
      </w:r>
      <w:r w:rsidRPr="00D25BE7">
        <w:rPr>
          <w:rFonts w:asciiTheme="minorHAnsi" w:hAnsiTheme="minorHAnsi" w:cs="Arial"/>
          <w:szCs w:val="22"/>
        </w:rPr>
        <w:t xml:space="preserve"> improved </w:t>
      </w:r>
      <w:r w:rsidR="00D05C08" w:rsidRPr="00D25BE7">
        <w:rPr>
          <w:rFonts w:asciiTheme="minorHAnsi" w:hAnsiTheme="minorHAnsi" w:cs="Arial"/>
          <w:szCs w:val="22"/>
        </w:rPr>
        <w:t>since</w:t>
      </w:r>
      <w:r w:rsidR="00BD376C" w:rsidRPr="00D25BE7">
        <w:rPr>
          <w:rFonts w:asciiTheme="minorHAnsi" w:hAnsiTheme="minorHAnsi" w:cs="Arial"/>
          <w:szCs w:val="22"/>
        </w:rPr>
        <w:t xml:space="preserve"> 2014/15 </w:t>
      </w:r>
      <w:r w:rsidRPr="00D25BE7">
        <w:rPr>
          <w:rFonts w:asciiTheme="minorHAnsi" w:hAnsiTheme="minorHAnsi" w:cs="Arial"/>
          <w:szCs w:val="22"/>
        </w:rPr>
        <w:t>with a turnaround to profitability</w:t>
      </w:r>
      <w:r w:rsidR="00BD376C" w:rsidRPr="00D25BE7">
        <w:rPr>
          <w:rFonts w:asciiTheme="minorHAnsi" w:hAnsiTheme="minorHAnsi" w:cs="Arial"/>
          <w:szCs w:val="22"/>
        </w:rPr>
        <w:t xml:space="preserve">, however this is determined after </w:t>
      </w:r>
      <w:r w:rsidR="00BD376C" w:rsidRPr="00D25BE7">
        <w:rPr>
          <w:rFonts w:asciiTheme="minorHAnsi" w:hAnsiTheme="minorHAnsi" w:cs="Arial"/>
          <w:color w:val="000000" w:themeColor="text1"/>
          <w:szCs w:val="22"/>
        </w:rPr>
        <w:t>receipt of subventions from the government.</w:t>
      </w:r>
      <w:r w:rsidRPr="00D25BE7">
        <w:rPr>
          <w:rFonts w:asciiTheme="minorHAnsi" w:hAnsiTheme="minorHAnsi" w:cs="Arial"/>
          <w:color w:val="000000" w:themeColor="text1"/>
          <w:szCs w:val="22"/>
        </w:rPr>
        <w:t xml:space="preserve">  Revenues increased steadily from M 32m in 2009 to M </w:t>
      </w:r>
      <w:r w:rsidR="003B6F18">
        <w:rPr>
          <w:rFonts w:asciiTheme="minorHAnsi" w:hAnsiTheme="minorHAnsi" w:cs="Arial"/>
          <w:color w:val="000000" w:themeColor="text1"/>
          <w:szCs w:val="22"/>
        </w:rPr>
        <w:t>166.7m</w:t>
      </w:r>
      <w:r w:rsidRPr="00D25BE7">
        <w:rPr>
          <w:rFonts w:asciiTheme="minorHAnsi" w:hAnsiTheme="minorHAnsi" w:cs="Arial"/>
          <w:color w:val="000000" w:themeColor="text1"/>
          <w:szCs w:val="22"/>
        </w:rPr>
        <w:t xml:space="preserve"> in 201</w:t>
      </w:r>
      <w:r w:rsidR="00D05C08" w:rsidRPr="00D25BE7">
        <w:rPr>
          <w:rFonts w:asciiTheme="minorHAnsi" w:hAnsiTheme="minorHAnsi" w:cs="Arial"/>
          <w:color w:val="000000" w:themeColor="text1"/>
          <w:szCs w:val="22"/>
        </w:rPr>
        <w:t>7</w:t>
      </w:r>
      <w:r w:rsidR="003B6F18">
        <w:rPr>
          <w:rFonts w:asciiTheme="minorHAnsi" w:hAnsiTheme="minorHAnsi" w:cs="Arial"/>
          <w:color w:val="000000" w:themeColor="text1"/>
          <w:szCs w:val="22"/>
        </w:rPr>
        <w:t>/18</w:t>
      </w:r>
      <w:r w:rsidRPr="00D25BE7">
        <w:rPr>
          <w:rFonts w:asciiTheme="minorHAnsi" w:hAnsiTheme="minorHAnsi" w:cs="Arial"/>
          <w:color w:val="000000" w:themeColor="text1"/>
          <w:szCs w:val="22"/>
        </w:rPr>
        <w:t xml:space="preserve"> while profitability turned around steadily from a loss of M18</w:t>
      </w:r>
      <w:r w:rsidR="00EA107E" w:rsidRPr="00D25BE7">
        <w:rPr>
          <w:rFonts w:asciiTheme="minorHAnsi" w:hAnsiTheme="minorHAnsi" w:cs="Arial"/>
          <w:color w:val="000000" w:themeColor="text1"/>
          <w:szCs w:val="22"/>
        </w:rPr>
        <w:t>m</w:t>
      </w:r>
      <w:r w:rsidRPr="00D25BE7">
        <w:rPr>
          <w:rFonts w:asciiTheme="minorHAnsi" w:hAnsiTheme="minorHAnsi" w:cs="Arial"/>
          <w:color w:val="000000" w:themeColor="text1"/>
          <w:szCs w:val="22"/>
        </w:rPr>
        <w:t xml:space="preserve"> in 2009 to a profit of M </w:t>
      </w:r>
      <w:r w:rsidR="00D05C08" w:rsidRPr="00D25BE7">
        <w:rPr>
          <w:rFonts w:asciiTheme="minorHAnsi" w:hAnsiTheme="minorHAnsi" w:cs="Arial"/>
          <w:color w:val="000000" w:themeColor="text1"/>
          <w:szCs w:val="22"/>
        </w:rPr>
        <w:t>4</w:t>
      </w:r>
      <w:r w:rsidR="003B6F18">
        <w:rPr>
          <w:rFonts w:asciiTheme="minorHAnsi" w:hAnsiTheme="minorHAnsi" w:cs="Arial"/>
          <w:color w:val="000000" w:themeColor="text1"/>
          <w:szCs w:val="22"/>
        </w:rPr>
        <w:t>1</w:t>
      </w:r>
      <w:r w:rsidR="00D05C08" w:rsidRPr="00D25BE7">
        <w:rPr>
          <w:rFonts w:asciiTheme="minorHAnsi" w:hAnsiTheme="minorHAnsi" w:cs="Arial"/>
          <w:color w:val="000000" w:themeColor="text1"/>
          <w:szCs w:val="22"/>
        </w:rPr>
        <w:t>.2</w:t>
      </w:r>
      <w:r w:rsidRPr="00D25BE7">
        <w:rPr>
          <w:rFonts w:asciiTheme="minorHAnsi" w:hAnsiTheme="minorHAnsi" w:cs="Arial"/>
          <w:color w:val="000000" w:themeColor="text1"/>
          <w:szCs w:val="22"/>
        </w:rPr>
        <w:t xml:space="preserve">m in </w:t>
      </w:r>
      <w:r w:rsidR="003B6F18">
        <w:rPr>
          <w:rFonts w:asciiTheme="minorHAnsi" w:hAnsiTheme="minorHAnsi" w:cs="Arial"/>
          <w:color w:val="000000" w:themeColor="text1"/>
          <w:szCs w:val="22"/>
        </w:rPr>
        <w:t>2017</w:t>
      </w:r>
      <w:r w:rsidR="00D4775B">
        <w:rPr>
          <w:rFonts w:asciiTheme="minorHAnsi" w:hAnsiTheme="minorHAnsi" w:cs="Arial"/>
          <w:color w:val="000000" w:themeColor="text1"/>
          <w:szCs w:val="22"/>
        </w:rPr>
        <w:t>/</w:t>
      </w:r>
      <w:r w:rsidRPr="00D25BE7">
        <w:rPr>
          <w:rFonts w:asciiTheme="minorHAnsi" w:hAnsiTheme="minorHAnsi" w:cs="Arial"/>
          <w:color w:val="000000" w:themeColor="text1"/>
          <w:szCs w:val="22"/>
        </w:rPr>
        <w:t>201</w:t>
      </w:r>
      <w:r w:rsidR="003B6F18">
        <w:rPr>
          <w:rFonts w:asciiTheme="minorHAnsi" w:hAnsiTheme="minorHAnsi" w:cs="Arial"/>
          <w:color w:val="000000" w:themeColor="text1"/>
          <w:szCs w:val="22"/>
        </w:rPr>
        <w:t>8</w:t>
      </w:r>
      <w:r w:rsidRPr="00D25BE7">
        <w:rPr>
          <w:rFonts w:asciiTheme="minorHAnsi" w:hAnsiTheme="minorHAnsi" w:cs="Arial"/>
          <w:color w:val="000000" w:themeColor="text1"/>
          <w:szCs w:val="22"/>
        </w:rPr>
        <w:t xml:space="preserve">. The performance improvement is said to be a result of better management. </w:t>
      </w:r>
    </w:p>
    <w:p w14:paraId="7161A305" w14:textId="1E0627B0" w:rsidR="0035648D" w:rsidRPr="00D25BE7" w:rsidRDefault="0035648D" w:rsidP="0035648D">
      <w:pPr>
        <w:pStyle w:val="ListParagraph"/>
        <w:ind w:left="426" w:hanging="426"/>
        <w:rPr>
          <w:rFonts w:asciiTheme="minorHAnsi" w:hAnsiTheme="minorHAnsi"/>
          <w:color w:val="000000" w:themeColor="text1"/>
          <w:szCs w:val="22"/>
          <w:lang w:val="en-GB"/>
        </w:rPr>
      </w:pPr>
      <w:r w:rsidRPr="00D25BE7">
        <w:rPr>
          <w:rFonts w:asciiTheme="minorHAnsi" w:hAnsiTheme="minorHAnsi"/>
          <w:color w:val="000000" w:themeColor="text1"/>
          <w:lang w:val="en-GB"/>
        </w:rPr>
        <w:t xml:space="preserve">The performance trend for LPB is therefore one of </w:t>
      </w:r>
      <w:r w:rsidR="003B6F18">
        <w:rPr>
          <w:rFonts w:asciiTheme="minorHAnsi" w:hAnsiTheme="minorHAnsi"/>
          <w:color w:val="000000" w:themeColor="text1"/>
          <w:lang w:val="en-GB"/>
        </w:rPr>
        <w:t xml:space="preserve">cautious </w:t>
      </w:r>
      <w:r w:rsidRPr="00D25BE7">
        <w:rPr>
          <w:rFonts w:asciiTheme="minorHAnsi" w:hAnsiTheme="minorHAnsi"/>
          <w:color w:val="000000" w:themeColor="text1"/>
          <w:lang w:val="en-GB"/>
        </w:rPr>
        <w:t xml:space="preserve">optimism, with the negative results seeming to turn around with better management and </w:t>
      </w:r>
      <w:r w:rsidR="0067311A" w:rsidRPr="00D25BE7">
        <w:rPr>
          <w:rFonts w:asciiTheme="minorHAnsi" w:hAnsiTheme="minorHAnsi"/>
          <w:color w:val="000000" w:themeColor="text1"/>
          <w:lang w:val="en-GB"/>
        </w:rPr>
        <w:t>continued government support</w:t>
      </w:r>
      <w:r w:rsidRPr="00D25BE7">
        <w:rPr>
          <w:rFonts w:asciiTheme="minorHAnsi" w:hAnsiTheme="minorHAnsi"/>
          <w:color w:val="000000" w:themeColor="text1"/>
          <w:lang w:val="en-GB"/>
        </w:rPr>
        <w:t>.</w:t>
      </w:r>
      <w:r w:rsidR="0074507B" w:rsidRPr="00D25BE7">
        <w:rPr>
          <w:rFonts w:asciiTheme="minorHAnsi" w:hAnsiTheme="minorHAnsi"/>
          <w:color w:val="000000" w:themeColor="text1"/>
          <w:lang w:val="en-GB"/>
        </w:rPr>
        <w:t xml:space="preserve"> </w:t>
      </w:r>
      <w:r w:rsidR="00B15A2E">
        <w:rPr>
          <w:rFonts w:asciiTheme="minorHAnsi" w:hAnsiTheme="minorHAnsi"/>
          <w:color w:val="000000" w:themeColor="text1"/>
          <w:lang w:val="en-GB"/>
        </w:rPr>
        <w:t xml:space="preserve">Figure </w:t>
      </w:r>
      <w:r w:rsidR="00AE3872">
        <w:rPr>
          <w:rFonts w:asciiTheme="minorHAnsi" w:hAnsiTheme="minorHAnsi"/>
          <w:color w:val="000000" w:themeColor="text1"/>
          <w:lang w:val="en-GB"/>
        </w:rPr>
        <w:t>17</w:t>
      </w:r>
      <w:r w:rsidR="00B15A2E">
        <w:rPr>
          <w:rFonts w:asciiTheme="minorHAnsi" w:hAnsiTheme="minorHAnsi"/>
          <w:color w:val="000000" w:themeColor="text1"/>
          <w:lang w:val="en-GB"/>
        </w:rPr>
        <w:t xml:space="preserve"> below shows the impressive overall growth but also highlights </w:t>
      </w:r>
      <w:r w:rsidR="00012FF5">
        <w:rPr>
          <w:rFonts w:asciiTheme="minorHAnsi" w:hAnsiTheme="minorHAnsi"/>
          <w:color w:val="000000" w:themeColor="text1"/>
          <w:lang w:val="en-GB"/>
        </w:rPr>
        <w:t xml:space="preserve">that </w:t>
      </w:r>
      <w:r w:rsidR="0026349F">
        <w:rPr>
          <w:rFonts w:asciiTheme="minorHAnsi" w:hAnsiTheme="minorHAnsi"/>
          <w:color w:val="000000" w:themeColor="text1"/>
          <w:lang w:val="en-GB"/>
        </w:rPr>
        <w:t xml:space="preserve">in 2016/17 whilst revenue growth remained almost flat, </w:t>
      </w:r>
      <w:r w:rsidR="00B15A2E">
        <w:rPr>
          <w:rFonts w:asciiTheme="minorHAnsi" w:hAnsiTheme="minorHAnsi"/>
          <w:color w:val="000000" w:themeColor="text1"/>
          <w:lang w:val="en-GB"/>
        </w:rPr>
        <w:t>th</w:t>
      </w:r>
      <w:r w:rsidR="00012FF5">
        <w:rPr>
          <w:rFonts w:asciiTheme="minorHAnsi" w:hAnsiTheme="minorHAnsi"/>
          <w:color w:val="000000" w:themeColor="text1"/>
          <w:lang w:val="en-GB"/>
        </w:rPr>
        <w:t xml:space="preserve">ere were significant </w:t>
      </w:r>
      <w:r w:rsidR="0026349F">
        <w:rPr>
          <w:rFonts w:asciiTheme="minorHAnsi" w:hAnsiTheme="minorHAnsi"/>
          <w:color w:val="000000" w:themeColor="text1"/>
          <w:lang w:val="en-GB"/>
        </w:rPr>
        <w:t>dips in profitability and efficiency</w:t>
      </w:r>
      <w:r w:rsidR="00864485">
        <w:rPr>
          <w:rFonts w:asciiTheme="minorHAnsi" w:hAnsiTheme="minorHAnsi"/>
          <w:color w:val="000000" w:themeColor="text1"/>
          <w:lang w:val="en-GB"/>
        </w:rPr>
        <w:t xml:space="preserve"> </w:t>
      </w:r>
      <w:r w:rsidR="000A02BE">
        <w:rPr>
          <w:rFonts w:asciiTheme="minorHAnsi" w:hAnsiTheme="minorHAnsi"/>
          <w:color w:val="000000" w:themeColor="text1"/>
          <w:lang w:val="en-GB"/>
        </w:rPr>
        <w:t>to levels lower than the 2014 recovery</w:t>
      </w:r>
      <w:r w:rsidR="0026349F">
        <w:rPr>
          <w:rFonts w:asciiTheme="minorHAnsi" w:hAnsiTheme="minorHAnsi"/>
          <w:color w:val="000000" w:themeColor="text1"/>
          <w:lang w:val="en-GB"/>
        </w:rPr>
        <w:t xml:space="preserve">. </w:t>
      </w:r>
      <w:r w:rsidR="00B15A2E">
        <w:rPr>
          <w:rFonts w:asciiTheme="minorHAnsi" w:hAnsiTheme="minorHAnsi"/>
          <w:color w:val="000000" w:themeColor="text1"/>
          <w:lang w:val="en-GB"/>
        </w:rPr>
        <w:t xml:space="preserve"> </w:t>
      </w:r>
    </w:p>
    <w:p w14:paraId="4F865036" w14:textId="6A7729AC" w:rsidR="00BD376C" w:rsidRPr="0023147B" w:rsidRDefault="0035648D" w:rsidP="00A5092F">
      <w:pPr>
        <w:ind w:firstLine="426"/>
        <w:rPr>
          <w:rFonts w:asciiTheme="minorHAnsi" w:hAnsiTheme="minorHAnsi"/>
          <w:b/>
          <w:sz w:val="20"/>
          <w:lang w:val="en-GB"/>
        </w:rPr>
      </w:pPr>
      <w:r w:rsidRPr="00243C32">
        <w:rPr>
          <w:rFonts w:asciiTheme="minorHAnsi" w:hAnsiTheme="minorHAnsi"/>
          <w:b/>
          <w:sz w:val="20"/>
          <w:lang w:val="en-GB"/>
        </w:rPr>
        <w:t xml:space="preserve">Figure </w:t>
      </w:r>
      <w:r w:rsidR="005A57E6" w:rsidRPr="00243C32">
        <w:rPr>
          <w:rFonts w:asciiTheme="minorHAnsi" w:hAnsiTheme="minorHAnsi"/>
          <w:b/>
          <w:sz w:val="20"/>
          <w:lang w:val="en-GB"/>
        </w:rPr>
        <w:t>17</w:t>
      </w:r>
      <w:r w:rsidR="00AE3872">
        <w:rPr>
          <w:rFonts w:asciiTheme="minorHAnsi" w:hAnsiTheme="minorHAnsi"/>
          <w:b/>
          <w:sz w:val="20"/>
          <w:lang w:val="en-GB"/>
        </w:rPr>
        <w:t xml:space="preserve">: </w:t>
      </w:r>
      <w:r w:rsidR="00E05359" w:rsidRPr="00243C32">
        <w:rPr>
          <w:rFonts w:asciiTheme="minorHAnsi" w:hAnsiTheme="minorHAnsi"/>
          <w:b/>
          <w:sz w:val="20"/>
          <w:lang w:val="en-GB"/>
        </w:rPr>
        <w:t>LPB</w:t>
      </w:r>
      <w:r w:rsidR="00E05359" w:rsidRPr="0023147B">
        <w:rPr>
          <w:rFonts w:asciiTheme="minorHAnsi" w:hAnsiTheme="minorHAnsi"/>
          <w:b/>
          <w:sz w:val="20"/>
          <w:lang w:val="en-GB"/>
        </w:rPr>
        <w:t xml:space="preserve"> </w:t>
      </w:r>
      <w:r w:rsidR="005A57E6">
        <w:rPr>
          <w:rFonts w:asciiTheme="minorHAnsi" w:hAnsiTheme="minorHAnsi"/>
          <w:b/>
          <w:sz w:val="20"/>
          <w:lang w:val="en-GB"/>
        </w:rPr>
        <w:t>Returns 2014/15 to 2017/18</w:t>
      </w:r>
    </w:p>
    <w:p w14:paraId="55472B38" w14:textId="5B432A10" w:rsidR="00BD376C" w:rsidRPr="00D25BE7" w:rsidRDefault="00A5092F" w:rsidP="00E96BD2">
      <w:pPr>
        <w:pStyle w:val="BalloonText"/>
        <w:spacing w:line="276" w:lineRule="auto"/>
        <w:jc w:val="both"/>
        <w:rPr>
          <w:rFonts w:asciiTheme="minorHAnsi" w:hAnsiTheme="minorHAnsi" w:cs="Arial"/>
          <w:b/>
          <w:sz w:val="22"/>
          <w:szCs w:val="22"/>
        </w:rPr>
      </w:pPr>
      <w:r w:rsidRPr="00D25BE7">
        <w:rPr>
          <w:rFonts w:asciiTheme="minorHAnsi" w:hAnsiTheme="minorHAnsi" w:cs="Arial"/>
          <w:b/>
          <w:sz w:val="22"/>
          <w:szCs w:val="22"/>
        </w:rPr>
        <w:tab/>
      </w:r>
    </w:p>
    <w:p w14:paraId="314DFB54" w14:textId="44F2F6CA" w:rsidR="00BD376C" w:rsidRPr="00D25BE7" w:rsidRDefault="00E05359" w:rsidP="00E96BD2">
      <w:pPr>
        <w:pStyle w:val="BalloonText"/>
        <w:spacing w:line="276" w:lineRule="auto"/>
        <w:jc w:val="both"/>
        <w:rPr>
          <w:rFonts w:asciiTheme="minorHAnsi" w:hAnsiTheme="minorHAnsi" w:cs="Arial"/>
          <w:b/>
          <w:sz w:val="22"/>
          <w:szCs w:val="22"/>
        </w:rPr>
      </w:pPr>
      <w:r>
        <w:rPr>
          <w:noProof/>
        </w:rPr>
        <w:drawing>
          <wp:inline distT="0" distB="0" distL="0" distR="0" wp14:anchorId="37F269E4" wp14:editId="7830924F">
            <wp:extent cx="5260340" cy="2865120"/>
            <wp:effectExtent l="25400" t="25400" r="99060" b="1066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95128C1" w14:textId="4E528D08" w:rsidR="00AE3872" w:rsidRPr="00D8583C" w:rsidRDefault="00AE3872" w:rsidP="00AE3872">
      <w:pPr>
        <w:ind w:firstLine="426"/>
        <w:rPr>
          <w:rFonts w:asciiTheme="minorHAnsi" w:eastAsia="CenturyGothic" w:hAnsiTheme="minorHAnsi" w:cs="Arial"/>
          <w:i/>
          <w:szCs w:val="22"/>
        </w:rPr>
      </w:pPr>
      <w:r>
        <w:rPr>
          <w:rFonts w:asciiTheme="minorHAnsi" w:hAnsiTheme="minorHAnsi" w:cs="Arial"/>
          <w:bCs/>
          <w:i/>
          <w:color w:val="000000"/>
          <w:sz w:val="20"/>
        </w:rPr>
        <w:t>Source: LPB</w:t>
      </w:r>
      <w:r w:rsidRPr="00D8583C">
        <w:rPr>
          <w:rFonts w:asciiTheme="minorHAnsi" w:hAnsiTheme="minorHAnsi" w:cs="Arial"/>
          <w:bCs/>
          <w:i/>
          <w:color w:val="000000"/>
          <w:sz w:val="20"/>
        </w:rPr>
        <w:t xml:space="preserve"> AFS Various Years</w:t>
      </w:r>
    </w:p>
    <w:p w14:paraId="5B7E50FC" w14:textId="77777777" w:rsidR="00E05359" w:rsidRDefault="00E05359" w:rsidP="00243C32">
      <w:pPr>
        <w:pStyle w:val="ListParagraph"/>
        <w:numPr>
          <w:ilvl w:val="0"/>
          <w:numId w:val="0"/>
        </w:numPr>
        <w:ind w:left="426"/>
        <w:rPr>
          <w:rFonts w:asciiTheme="minorHAnsi" w:hAnsiTheme="minorHAnsi"/>
          <w:color w:val="000000" w:themeColor="text1"/>
          <w:lang w:val="en-GB"/>
        </w:rPr>
      </w:pPr>
    </w:p>
    <w:p w14:paraId="6D7D6C1D" w14:textId="3AB19A61" w:rsidR="004F168A" w:rsidRPr="00D25BE7" w:rsidRDefault="004F168A" w:rsidP="004F168A">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Relevant performance data for FY’1</w:t>
      </w:r>
      <w:r w:rsidR="00DD5F47">
        <w:rPr>
          <w:rFonts w:asciiTheme="minorHAnsi" w:hAnsiTheme="minorHAnsi"/>
          <w:color w:val="000000" w:themeColor="text1"/>
          <w:lang w:val="en-GB"/>
        </w:rPr>
        <w:t>8</w:t>
      </w:r>
      <w:r w:rsidRPr="00D25BE7">
        <w:rPr>
          <w:rFonts w:asciiTheme="minorHAnsi" w:hAnsiTheme="minorHAnsi"/>
          <w:color w:val="000000" w:themeColor="text1"/>
          <w:lang w:val="en-GB"/>
        </w:rPr>
        <w:t xml:space="preserve"> is:</w:t>
      </w:r>
    </w:p>
    <w:p w14:paraId="7FA97E2E" w14:textId="7B51E82D" w:rsidR="004F168A" w:rsidRPr="0023147B" w:rsidRDefault="004F168A" w:rsidP="004F168A">
      <w:pPr>
        <w:ind w:firstLine="426"/>
        <w:rPr>
          <w:rFonts w:asciiTheme="minorHAnsi" w:hAnsiTheme="minorHAnsi"/>
          <w:b/>
          <w:sz w:val="20"/>
          <w:lang w:val="en-GB"/>
        </w:rPr>
      </w:pPr>
      <w:r w:rsidRPr="00243C32">
        <w:rPr>
          <w:rFonts w:asciiTheme="minorHAnsi" w:hAnsiTheme="minorHAnsi"/>
          <w:b/>
          <w:sz w:val="20"/>
          <w:lang w:val="en-GB"/>
        </w:rPr>
        <w:t xml:space="preserve">Table </w:t>
      </w:r>
      <w:r w:rsidR="0067311A" w:rsidRPr="00243C32">
        <w:rPr>
          <w:rFonts w:asciiTheme="minorHAnsi" w:hAnsiTheme="minorHAnsi"/>
          <w:b/>
          <w:sz w:val="20"/>
          <w:lang w:val="en-GB"/>
        </w:rPr>
        <w:t>1</w:t>
      </w:r>
      <w:r w:rsidR="005A57E6">
        <w:rPr>
          <w:rFonts w:asciiTheme="minorHAnsi" w:hAnsiTheme="minorHAnsi"/>
          <w:b/>
          <w:sz w:val="20"/>
          <w:lang w:val="en-GB"/>
        </w:rPr>
        <w:t>3</w:t>
      </w:r>
      <w:r w:rsidRPr="00243C32">
        <w:rPr>
          <w:rFonts w:asciiTheme="minorHAnsi" w:hAnsiTheme="minorHAnsi"/>
          <w:b/>
          <w:sz w:val="20"/>
          <w:lang w:val="en-GB"/>
        </w:rPr>
        <w:t>: Performance Highlights – LPB</w:t>
      </w:r>
    </w:p>
    <w:p w14:paraId="6352C2C3" w14:textId="77777777" w:rsidR="00DD5F47" w:rsidRPr="00D25BE7" w:rsidRDefault="00DD5F47" w:rsidP="004F168A">
      <w:pPr>
        <w:ind w:firstLine="426"/>
        <w:rPr>
          <w:rFonts w:asciiTheme="minorHAnsi" w:hAnsiTheme="minorHAnsi"/>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1276"/>
        <w:gridCol w:w="1276"/>
        <w:gridCol w:w="1276"/>
        <w:gridCol w:w="1276"/>
      </w:tblGrid>
      <w:tr w:rsidR="00777034" w:rsidRPr="00AE3872" w14:paraId="2E748D65" w14:textId="77777777" w:rsidTr="004140E8">
        <w:trPr>
          <w:trHeight w:val="360"/>
          <w:tblHeader/>
          <w:jc w:val="center"/>
        </w:trPr>
        <w:tc>
          <w:tcPr>
            <w:tcW w:w="2126" w:type="dxa"/>
            <w:shd w:val="clear" w:color="auto" w:fill="D9D9D9" w:themeFill="background1" w:themeFillShade="D9"/>
            <w:noWrap/>
            <w:vAlign w:val="center"/>
            <w:hideMark/>
          </w:tcPr>
          <w:p w14:paraId="245AAF69" w14:textId="77777777" w:rsidR="00777034" w:rsidRPr="004140E8" w:rsidRDefault="00777034" w:rsidP="0098715A">
            <w:pPr>
              <w:ind w:firstLine="42"/>
              <w:rPr>
                <w:rFonts w:asciiTheme="minorHAnsi" w:hAnsiTheme="minorHAnsi"/>
                <w:sz w:val="18"/>
                <w:szCs w:val="18"/>
                <w:lang w:eastAsia="en-GB"/>
              </w:rPr>
            </w:pPr>
            <w:bookmarkStart w:id="26" w:name="OLE_LINK4"/>
            <w:r w:rsidRPr="004140E8">
              <w:rPr>
                <w:rFonts w:asciiTheme="minorHAnsi" w:hAnsiTheme="minorHAnsi"/>
                <w:sz w:val="18"/>
                <w:szCs w:val="18"/>
                <w:lang w:eastAsia="en-GB"/>
              </w:rPr>
              <w:lastRenderedPageBreak/>
              <w:t>Performance Highlights (M '000)</w:t>
            </w:r>
          </w:p>
        </w:tc>
        <w:tc>
          <w:tcPr>
            <w:tcW w:w="1276" w:type="dxa"/>
            <w:shd w:val="clear" w:color="auto" w:fill="D9D9D9" w:themeFill="background1" w:themeFillShade="D9"/>
            <w:vAlign w:val="center"/>
          </w:tcPr>
          <w:p w14:paraId="46081CFF" w14:textId="2553F6D1" w:rsidR="00777034" w:rsidRPr="004140E8" w:rsidRDefault="00777034" w:rsidP="0098715A">
            <w:pPr>
              <w:jc w:val="center"/>
              <w:rPr>
                <w:rFonts w:asciiTheme="minorHAnsi" w:hAnsiTheme="minorHAnsi" w:cstheme="minorHAnsi"/>
                <w:b/>
                <w:bCs/>
                <w:color w:val="000000"/>
                <w:sz w:val="18"/>
                <w:szCs w:val="18"/>
                <w:lang w:eastAsia="en-GB"/>
              </w:rPr>
            </w:pPr>
            <w:r w:rsidRPr="004140E8">
              <w:rPr>
                <w:rFonts w:asciiTheme="minorHAnsi" w:hAnsiTheme="minorHAnsi" w:cstheme="minorHAnsi"/>
                <w:b/>
                <w:bCs/>
                <w:sz w:val="18"/>
                <w:szCs w:val="18"/>
                <w:lang w:eastAsia="en-GB"/>
              </w:rPr>
              <w:t>2014/15</w:t>
            </w:r>
          </w:p>
        </w:tc>
        <w:tc>
          <w:tcPr>
            <w:tcW w:w="1276" w:type="dxa"/>
            <w:shd w:val="clear" w:color="auto" w:fill="D9D9D9" w:themeFill="background1" w:themeFillShade="D9"/>
            <w:vAlign w:val="center"/>
          </w:tcPr>
          <w:p w14:paraId="404D31E9" w14:textId="5ADA9BA3" w:rsidR="00777034" w:rsidRPr="004140E8" w:rsidRDefault="00777034" w:rsidP="0098715A">
            <w:pPr>
              <w:jc w:val="center"/>
              <w:rPr>
                <w:rFonts w:asciiTheme="minorHAnsi" w:hAnsiTheme="minorHAnsi" w:cstheme="minorHAnsi"/>
                <w:b/>
                <w:bCs/>
                <w:color w:val="000000"/>
                <w:sz w:val="18"/>
                <w:szCs w:val="18"/>
                <w:lang w:eastAsia="en-GB"/>
              </w:rPr>
            </w:pPr>
            <w:r w:rsidRPr="004140E8">
              <w:rPr>
                <w:rFonts w:asciiTheme="minorHAnsi" w:hAnsiTheme="minorHAnsi" w:cstheme="minorHAnsi"/>
                <w:b/>
                <w:bCs/>
                <w:sz w:val="18"/>
                <w:szCs w:val="18"/>
                <w:lang w:eastAsia="en-GB"/>
              </w:rPr>
              <w:t>2015/16</w:t>
            </w:r>
          </w:p>
        </w:tc>
        <w:tc>
          <w:tcPr>
            <w:tcW w:w="1276" w:type="dxa"/>
            <w:shd w:val="clear" w:color="auto" w:fill="D9D9D9" w:themeFill="background1" w:themeFillShade="D9"/>
            <w:vAlign w:val="center"/>
            <w:hideMark/>
          </w:tcPr>
          <w:p w14:paraId="6C80983A" w14:textId="61419138" w:rsidR="00777034" w:rsidRPr="004140E8" w:rsidRDefault="00777034" w:rsidP="0098715A">
            <w:pPr>
              <w:jc w:val="center"/>
              <w:rPr>
                <w:rFonts w:asciiTheme="minorHAnsi" w:hAnsiTheme="minorHAnsi" w:cstheme="minorHAnsi"/>
                <w:b/>
                <w:bCs/>
                <w:sz w:val="18"/>
                <w:szCs w:val="18"/>
                <w:lang w:eastAsia="en-GB"/>
              </w:rPr>
            </w:pPr>
            <w:r w:rsidRPr="004140E8">
              <w:rPr>
                <w:rFonts w:asciiTheme="minorHAnsi" w:hAnsiTheme="minorHAnsi" w:cstheme="minorHAnsi"/>
                <w:b/>
                <w:bCs/>
                <w:sz w:val="18"/>
                <w:szCs w:val="18"/>
                <w:lang w:eastAsia="en-GB"/>
              </w:rPr>
              <w:t>2016/17</w:t>
            </w:r>
          </w:p>
        </w:tc>
        <w:tc>
          <w:tcPr>
            <w:tcW w:w="1276" w:type="dxa"/>
            <w:shd w:val="clear" w:color="auto" w:fill="D9D9D9" w:themeFill="background1" w:themeFillShade="D9"/>
            <w:vAlign w:val="center"/>
          </w:tcPr>
          <w:p w14:paraId="1BC1EDE9" w14:textId="03888F31" w:rsidR="00777034" w:rsidRPr="004140E8" w:rsidRDefault="00777034" w:rsidP="0098715A">
            <w:pPr>
              <w:jc w:val="center"/>
              <w:rPr>
                <w:rFonts w:asciiTheme="minorHAnsi" w:hAnsiTheme="minorHAnsi" w:cstheme="minorHAnsi"/>
                <w:b/>
                <w:bCs/>
                <w:color w:val="000000"/>
                <w:sz w:val="18"/>
                <w:szCs w:val="18"/>
                <w:lang w:eastAsia="en-GB"/>
              </w:rPr>
            </w:pPr>
            <w:r w:rsidRPr="004140E8">
              <w:rPr>
                <w:rFonts w:asciiTheme="minorHAnsi" w:hAnsiTheme="minorHAnsi" w:cstheme="minorHAnsi"/>
                <w:b/>
                <w:bCs/>
                <w:sz w:val="18"/>
                <w:szCs w:val="18"/>
                <w:lang w:eastAsia="en-GB"/>
              </w:rPr>
              <w:t>2017/18</w:t>
            </w:r>
          </w:p>
        </w:tc>
        <w:tc>
          <w:tcPr>
            <w:tcW w:w="1276" w:type="dxa"/>
            <w:shd w:val="clear" w:color="auto" w:fill="D9D9D9" w:themeFill="background1" w:themeFillShade="D9"/>
            <w:noWrap/>
            <w:vAlign w:val="center"/>
            <w:hideMark/>
          </w:tcPr>
          <w:p w14:paraId="1C5CC815" w14:textId="27366884" w:rsidR="00777034" w:rsidRPr="004140E8" w:rsidRDefault="00777034" w:rsidP="0098715A">
            <w:pPr>
              <w:jc w:val="center"/>
              <w:rPr>
                <w:rFonts w:asciiTheme="minorHAnsi" w:hAnsiTheme="minorHAnsi" w:cstheme="minorHAnsi"/>
                <w:b/>
                <w:bCs/>
                <w:color w:val="000000"/>
                <w:sz w:val="18"/>
                <w:szCs w:val="18"/>
                <w:lang w:eastAsia="en-GB"/>
              </w:rPr>
            </w:pPr>
            <w:r w:rsidRPr="004140E8">
              <w:rPr>
                <w:rFonts w:asciiTheme="minorHAnsi" w:hAnsiTheme="minorHAnsi" w:cstheme="minorHAnsi"/>
                <w:b/>
                <w:bCs/>
                <w:color w:val="000000"/>
                <w:sz w:val="18"/>
                <w:szCs w:val="18"/>
                <w:lang w:eastAsia="en-GB"/>
              </w:rPr>
              <w:t>4-yr Average</w:t>
            </w:r>
          </w:p>
        </w:tc>
      </w:tr>
      <w:bookmarkEnd w:id="26"/>
      <w:tr w:rsidR="00777034" w:rsidRPr="00AE3872" w14:paraId="4E6BAD36" w14:textId="77777777" w:rsidTr="004140E8">
        <w:trPr>
          <w:trHeight w:val="360"/>
          <w:jc w:val="center"/>
        </w:trPr>
        <w:tc>
          <w:tcPr>
            <w:tcW w:w="2126" w:type="dxa"/>
            <w:shd w:val="clear" w:color="000000" w:fill="FFFFFF"/>
            <w:noWrap/>
            <w:vAlign w:val="center"/>
            <w:hideMark/>
          </w:tcPr>
          <w:p w14:paraId="48612545"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Total Revenue</w:t>
            </w:r>
          </w:p>
        </w:tc>
        <w:tc>
          <w:tcPr>
            <w:tcW w:w="1276" w:type="dxa"/>
            <w:vAlign w:val="center"/>
          </w:tcPr>
          <w:p w14:paraId="51DFB024" w14:textId="52AA4809"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48,609 </w:t>
            </w:r>
          </w:p>
        </w:tc>
        <w:tc>
          <w:tcPr>
            <w:tcW w:w="1276" w:type="dxa"/>
            <w:vAlign w:val="center"/>
          </w:tcPr>
          <w:p w14:paraId="0D753A62" w14:textId="084EC636"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74,203 </w:t>
            </w:r>
          </w:p>
        </w:tc>
        <w:tc>
          <w:tcPr>
            <w:tcW w:w="1276" w:type="dxa"/>
            <w:shd w:val="clear" w:color="auto" w:fill="auto"/>
            <w:noWrap/>
            <w:vAlign w:val="center"/>
            <w:hideMark/>
          </w:tcPr>
          <w:p w14:paraId="654D8B41" w14:textId="73011996"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79,104 </w:t>
            </w:r>
          </w:p>
        </w:tc>
        <w:tc>
          <w:tcPr>
            <w:tcW w:w="1276" w:type="dxa"/>
            <w:vAlign w:val="center"/>
          </w:tcPr>
          <w:p w14:paraId="5B8BBE34" w14:textId="0D79CBD7" w:rsidR="00777034" w:rsidRPr="004140E8" w:rsidRDefault="00372AD9" w:rsidP="00372AD9">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166,688</w:t>
            </w:r>
          </w:p>
        </w:tc>
        <w:tc>
          <w:tcPr>
            <w:tcW w:w="1276" w:type="dxa"/>
            <w:shd w:val="clear" w:color="auto" w:fill="auto"/>
            <w:noWrap/>
            <w:vAlign w:val="center"/>
            <w:hideMark/>
          </w:tcPr>
          <w:p w14:paraId="6AE42BA8" w14:textId="4A7C4AA9" w:rsidR="00777034" w:rsidRPr="004140E8" w:rsidRDefault="00DD5F47"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92,151</w:t>
            </w:r>
            <w:r w:rsidR="00777034" w:rsidRPr="004140E8">
              <w:rPr>
                <w:rFonts w:asciiTheme="minorHAnsi" w:hAnsiTheme="minorHAnsi" w:cstheme="minorHAnsi"/>
                <w:color w:val="000000" w:themeColor="text1"/>
                <w:sz w:val="18"/>
                <w:szCs w:val="18"/>
                <w:lang w:eastAsia="en-GB"/>
              </w:rPr>
              <w:t xml:space="preserve"> </w:t>
            </w:r>
          </w:p>
        </w:tc>
      </w:tr>
      <w:tr w:rsidR="00777034" w:rsidRPr="00AE3872" w14:paraId="124E3D12" w14:textId="77777777" w:rsidTr="004140E8">
        <w:trPr>
          <w:trHeight w:val="360"/>
          <w:jc w:val="center"/>
        </w:trPr>
        <w:tc>
          <w:tcPr>
            <w:tcW w:w="2126" w:type="dxa"/>
            <w:shd w:val="clear" w:color="000000" w:fill="FFFFFF"/>
            <w:noWrap/>
            <w:vAlign w:val="center"/>
            <w:hideMark/>
          </w:tcPr>
          <w:p w14:paraId="13E0E116"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Net Operating Profit After Tax</w:t>
            </w:r>
          </w:p>
        </w:tc>
        <w:tc>
          <w:tcPr>
            <w:tcW w:w="1276" w:type="dxa"/>
            <w:vAlign w:val="center"/>
          </w:tcPr>
          <w:p w14:paraId="3527D51F" w14:textId="79C19B68" w:rsidR="00777034" w:rsidRPr="004140E8" w:rsidRDefault="00777034" w:rsidP="009441DB">
            <w:pPr>
              <w:jc w:val="right"/>
              <w:rPr>
                <w:rFonts w:asciiTheme="minorHAnsi" w:hAnsiTheme="minorHAnsi" w:cstheme="minorHAnsi"/>
                <w:color w:val="FF0000"/>
                <w:sz w:val="18"/>
                <w:szCs w:val="18"/>
                <w:lang w:eastAsia="en-GB"/>
              </w:rPr>
            </w:pPr>
            <w:r w:rsidRPr="004140E8">
              <w:rPr>
                <w:rFonts w:asciiTheme="minorHAnsi" w:hAnsiTheme="minorHAnsi" w:cstheme="minorHAnsi"/>
                <w:color w:val="000000" w:themeColor="text1"/>
                <w:sz w:val="18"/>
                <w:szCs w:val="18"/>
                <w:lang w:eastAsia="en-GB"/>
              </w:rPr>
              <w:t xml:space="preserve">3,873 </w:t>
            </w:r>
          </w:p>
        </w:tc>
        <w:tc>
          <w:tcPr>
            <w:tcW w:w="1276" w:type="dxa"/>
            <w:vAlign w:val="center"/>
          </w:tcPr>
          <w:p w14:paraId="5427CEB7" w14:textId="2397540D" w:rsidR="00777034" w:rsidRPr="004140E8" w:rsidRDefault="00777034" w:rsidP="009441DB">
            <w:pPr>
              <w:jc w:val="right"/>
              <w:rPr>
                <w:rFonts w:asciiTheme="minorHAnsi" w:hAnsiTheme="minorHAnsi" w:cstheme="minorHAnsi"/>
                <w:color w:val="FF0000"/>
                <w:sz w:val="18"/>
                <w:szCs w:val="18"/>
                <w:lang w:eastAsia="en-GB"/>
              </w:rPr>
            </w:pPr>
            <w:r w:rsidRPr="004140E8">
              <w:rPr>
                <w:rFonts w:asciiTheme="minorHAnsi" w:hAnsiTheme="minorHAnsi" w:cstheme="minorHAnsi"/>
                <w:color w:val="000000" w:themeColor="text1"/>
                <w:sz w:val="18"/>
                <w:szCs w:val="18"/>
                <w:lang w:eastAsia="en-GB"/>
              </w:rPr>
              <w:t xml:space="preserve">14,353 </w:t>
            </w:r>
          </w:p>
        </w:tc>
        <w:tc>
          <w:tcPr>
            <w:tcW w:w="1276" w:type="dxa"/>
            <w:shd w:val="clear" w:color="auto" w:fill="auto"/>
            <w:noWrap/>
            <w:vAlign w:val="center"/>
            <w:hideMark/>
          </w:tcPr>
          <w:p w14:paraId="16323520" w14:textId="71E79619"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4,283 </w:t>
            </w:r>
          </w:p>
        </w:tc>
        <w:tc>
          <w:tcPr>
            <w:tcW w:w="1276" w:type="dxa"/>
            <w:vAlign w:val="center"/>
          </w:tcPr>
          <w:p w14:paraId="5021180E" w14:textId="61CB25EE" w:rsidR="00777034" w:rsidRPr="004140E8" w:rsidRDefault="008D1C59" w:rsidP="00372AD9">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41,204</w:t>
            </w:r>
          </w:p>
        </w:tc>
        <w:tc>
          <w:tcPr>
            <w:tcW w:w="1276" w:type="dxa"/>
            <w:shd w:val="clear" w:color="auto" w:fill="auto"/>
            <w:noWrap/>
            <w:vAlign w:val="center"/>
            <w:hideMark/>
          </w:tcPr>
          <w:p w14:paraId="1F2CBCA8" w14:textId="1D4923EB" w:rsidR="00777034" w:rsidRPr="004140E8" w:rsidRDefault="00DD5F47"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15,928</w:t>
            </w:r>
            <w:r w:rsidR="00777034" w:rsidRPr="004140E8">
              <w:rPr>
                <w:rFonts w:asciiTheme="minorHAnsi" w:hAnsiTheme="minorHAnsi" w:cstheme="minorHAnsi"/>
                <w:color w:val="000000" w:themeColor="text1"/>
                <w:sz w:val="18"/>
                <w:szCs w:val="18"/>
                <w:lang w:eastAsia="en-GB"/>
              </w:rPr>
              <w:t xml:space="preserve"> </w:t>
            </w:r>
          </w:p>
        </w:tc>
      </w:tr>
      <w:tr w:rsidR="00777034" w:rsidRPr="00AE3872" w14:paraId="7212E313" w14:textId="77777777" w:rsidTr="004140E8">
        <w:trPr>
          <w:trHeight w:val="360"/>
          <w:jc w:val="center"/>
        </w:trPr>
        <w:tc>
          <w:tcPr>
            <w:tcW w:w="2126" w:type="dxa"/>
            <w:shd w:val="clear" w:color="000000" w:fill="FFFFFF"/>
            <w:noWrap/>
            <w:vAlign w:val="center"/>
            <w:hideMark/>
          </w:tcPr>
          <w:p w14:paraId="5E898C51" w14:textId="389E17E9"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Capital Grants Receipts</w:t>
            </w:r>
          </w:p>
        </w:tc>
        <w:tc>
          <w:tcPr>
            <w:tcW w:w="1276" w:type="dxa"/>
            <w:vAlign w:val="center"/>
          </w:tcPr>
          <w:p w14:paraId="5DD8E2C7" w14:textId="30A41E5B" w:rsidR="00777034" w:rsidRPr="004140E8" w:rsidRDefault="00777034" w:rsidP="009441DB">
            <w:pPr>
              <w:jc w:val="right"/>
              <w:rPr>
                <w:rFonts w:asciiTheme="minorHAnsi" w:hAnsiTheme="minorHAnsi" w:cstheme="minorHAnsi"/>
                <w:color w:val="FF0000"/>
                <w:sz w:val="18"/>
                <w:szCs w:val="18"/>
                <w:lang w:eastAsia="en-GB"/>
              </w:rPr>
            </w:pPr>
            <w:r w:rsidRPr="004140E8">
              <w:rPr>
                <w:rFonts w:asciiTheme="minorHAnsi" w:hAnsiTheme="minorHAnsi" w:cstheme="minorHAnsi"/>
                <w:color w:val="FF0000"/>
                <w:sz w:val="18"/>
                <w:szCs w:val="18"/>
                <w:lang w:eastAsia="en-GB"/>
              </w:rPr>
              <w:t xml:space="preserve">   </w:t>
            </w:r>
          </w:p>
        </w:tc>
        <w:tc>
          <w:tcPr>
            <w:tcW w:w="1276" w:type="dxa"/>
            <w:vAlign w:val="center"/>
          </w:tcPr>
          <w:p w14:paraId="6480E6F3" w14:textId="3451612A"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17,663  </w:t>
            </w:r>
          </w:p>
        </w:tc>
        <w:tc>
          <w:tcPr>
            <w:tcW w:w="1276" w:type="dxa"/>
            <w:shd w:val="clear" w:color="auto" w:fill="auto"/>
            <w:noWrap/>
            <w:vAlign w:val="center"/>
            <w:hideMark/>
          </w:tcPr>
          <w:p w14:paraId="4028DF61" w14:textId="0263D045"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53,000  </w:t>
            </w:r>
          </w:p>
        </w:tc>
        <w:tc>
          <w:tcPr>
            <w:tcW w:w="1276" w:type="dxa"/>
            <w:vAlign w:val="center"/>
          </w:tcPr>
          <w:p w14:paraId="66836BAF" w14:textId="55D2E365" w:rsidR="00777034" w:rsidRPr="004140E8" w:rsidRDefault="007A0D88" w:rsidP="00372AD9">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35,000</w:t>
            </w:r>
          </w:p>
        </w:tc>
        <w:tc>
          <w:tcPr>
            <w:tcW w:w="1276" w:type="dxa"/>
            <w:shd w:val="clear" w:color="auto" w:fill="auto"/>
            <w:noWrap/>
            <w:vAlign w:val="center"/>
            <w:hideMark/>
          </w:tcPr>
          <w:p w14:paraId="7B0E63AD" w14:textId="19F39EC7" w:rsidR="00777034" w:rsidRPr="004140E8" w:rsidRDefault="00691D4C"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26,416</w:t>
            </w:r>
          </w:p>
        </w:tc>
      </w:tr>
      <w:tr w:rsidR="00777034" w:rsidRPr="00AE3872" w14:paraId="571678B0" w14:textId="77777777" w:rsidTr="004140E8">
        <w:trPr>
          <w:trHeight w:val="360"/>
          <w:jc w:val="center"/>
        </w:trPr>
        <w:tc>
          <w:tcPr>
            <w:tcW w:w="2126" w:type="dxa"/>
            <w:shd w:val="clear" w:color="000000" w:fill="FFFFFF"/>
            <w:noWrap/>
            <w:vAlign w:val="center"/>
            <w:hideMark/>
          </w:tcPr>
          <w:p w14:paraId="599E3A39"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Total Assets</w:t>
            </w:r>
          </w:p>
        </w:tc>
        <w:tc>
          <w:tcPr>
            <w:tcW w:w="1276" w:type="dxa"/>
            <w:vAlign w:val="center"/>
          </w:tcPr>
          <w:p w14:paraId="262C9352" w14:textId="5E8FE5A2"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347,289 </w:t>
            </w:r>
          </w:p>
        </w:tc>
        <w:tc>
          <w:tcPr>
            <w:tcW w:w="1276" w:type="dxa"/>
            <w:vAlign w:val="center"/>
          </w:tcPr>
          <w:p w14:paraId="171C78DF" w14:textId="206FAF1C"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444,886 </w:t>
            </w:r>
          </w:p>
        </w:tc>
        <w:tc>
          <w:tcPr>
            <w:tcW w:w="1276" w:type="dxa"/>
            <w:shd w:val="clear" w:color="auto" w:fill="auto"/>
            <w:noWrap/>
            <w:vAlign w:val="center"/>
          </w:tcPr>
          <w:p w14:paraId="3A55D2D0" w14:textId="45A97CB8"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808,566 </w:t>
            </w:r>
          </w:p>
        </w:tc>
        <w:tc>
          <w:tcPr>
            <w:tcW w:w="1276" w:type="dxa"/>
            <w:vAlign w:val="center"/>
          </w:tcPr>
          <w:p w14:paraId="205C7B01" w14:textId="166A7568" w:rsidR="00777034" w:rsidRPr="004140E8" w:rsidRDefault="007A0D88" w:rsidP="00372AD9">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1,329,574</w:t>
            </w:r>
          </w:p>
        </w:tc>
        <w:tc>
          <w:tcPr>
            <w:tcW w:w="1276" w:type="dxa"/>
            <w:shd w:val="clear" w:color="auto" w:fill="auto"/>
            <w:noWrap/>
            <w:vAlign w:val="center"/>
            <w:hideMark/>
          </w:tcPr>
          <w:p w14:paraId="09853A33" w14:textId="321EF8CF" w:rsidR="00777034" w:rsidRPr="004140E8" w:rsidRDefault="00691D4C"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732,579</w:t>
            </w:r>
            <w:r w:rsidR="00777034" w:rsidRPr="004140E8">
              <w:rPr>
                <w:rFonts w:asciiTheme="minorHAnsi" w:hAnsiTheme="minorHAnsi" w:cstheme="minorHAnsi"/>
                <w:color w:val="000000" w:themeColor="text1"/>
                <w:sz w:val="18"/>
                <w:szCs w:val="18"/>
                <w:lang w:eastAsia="en-GB"/>
              </w:rPr>
              <w:t xml:space="preserve"> </w:t>
            </w:r>
          </w:p>
        </w:tc>
      </w:tr>
      <w:tr w:rsidR="00777034" w:rsidRPr="00AE3872" w14:paraId="7D8F307C" w14:textId="77777777" w:rsidTr="004140E8">
        <w:trPr>
          <w:trHeight w:val="360"/>
          <w:jc w:val="center"/>
        </w:trPr>
        <w:tc>
          <w:tcPr>
            <w:tcW w:w="2126" w:type="dxa"/>
            <w:shd w:val="clear" w:color="000000" w:fill="FFFFFF"/>
            <w:noWrap/>
            <w:vAlign w:val="center"/>
            <w:hideMark/>
          </w:tcPr>
          <w:p w14:paraId="1420E0B1"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Total Liabilities</w:t>
            </w:r>
          </w:p>
        </w:tc>
        <w:tc>
          <w:tcPr>
            <w:tcW w:w="1276" w:type="dxa"/>
            <w:vAlign w:val="center"/>
          </w:tcPr>
          <w:p w14:paraId="4C58973B" w14:textId="76607D37"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323,415 </w:t>
            </w:r>
          </w:p>
        </w:tc>
        <w:tc>
          <w:tcPr>
            <w:tcW w:w="1276" w:type="dxa"/>
            <w:vAlign w:val="center"/>
          </w:tcPr>
          <w:p w14:paraId="7DAE7D5C" w14:textId="174E1E64"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349,197 </w:t>
            </w:r>
          </w:p>
        </w:tc>
        <w:tc>
          <w:tcPr>
            <w:tcW w:w="1276" w:type="dxa"/>
            <w:shd w:val="clear" w:color="auto" w:fill="auto"/>
            <w:noWrap/>
            <w:vAlign w:val="center"/>
          </w:tcPr>
          <w:p w14:paraId="2A0C24D7" w14:textId="2E078341"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704,119 </w:t>
            </w:r>
          </w:p>
        </w:tc>
        <w:tc>
          <w:tcPr>
            <w:tcW w:w="1276" w:type="dxa"/>
            <w:vAlign w:val="center"/>
          </w:tcPr>
          <w:p w14:paraId="4FE5FED3" w14:textId="5C0F9253" w:rsidR="00777034" w:rsidRPr="004140E8" w:rsidRDefault="0026260C" w:rsidP="00372AD9">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1,181,830</w:t>
            </w:r>
          </w:p>
        </w:tc>
        <w:tc>
          <w:tcPr>
            <w:tcW w:w="1276" w:type="dxa"/>
            <w:shd w:val="clear" w:color="auto" w:fill="auto"/>
            <w:noWrap/>
            <w:vAlign w:val="center"/>
            <w:hideMark/>
          </w:tcPr>
          <w:p w14:paraId="2EEE0DAB" w14:textId="693BDFBC" w:rsidR="00777034" w:rsidRPr="004140E8" w:rsidRDefault="00691D4C"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639,640</w:t>
            </w:r>
            <w:r w:rsidR="00777034" w:rsidRPr="004140E8">
              <w:rPr>
                <w:rFonts w:asciiTheme="minorHAnsi" w:hAnsiTheme="minorHAnsi" w:cstheme="minorHAnsi"/>
                <w:color w:val="000000" w:themeColor="text1"/>
                <w:sz w:val="18"/>
                <w:szCs w:val="18"/>
                <w:lang w:eastAsia="en-GB"/>
              </w:rPr>
              <w:t xml:space="preserve"> </w:t>
            </w:r>
          </w:p>
        </w:tc>
      </w:tr>
      <w:tr w:rsidR="00777034" w:rsidRPr="00AE3872" w14:paraId="764544BE" w14:textId="77777777" w:rsidTr="004140E8">
        <w:trPr>
          <w:trHeight w:val="360"/>
          <w:jc w:val="center"/>
        </w:trPr>
        <w:tc>
          <w:tcPr>
            <w:tcW w:w="2126" w:type="dxa"/>
            <w:shd w:val="clear" w:color="000000" w:fill="FFFFFF"/>
            <w:noWrap/>
            <w:vAlign w:val="center"/>
            <w:hideMark/>
          </w:tcPr>
          <w:p w14:paraId="7943FD4E"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Shareholders' Funds</w:t>
            </w:r>
          </w:p>
        </w:tc>
        <w:tc>
          <w:tcPr>
            <w:tcW w:w="1276" w:type="dxa"/>
            <w:vAlign w:val="center"/>
          </w:tcPr>
          <w:p w14:paraId="405987B5" w14:textId="696C85CD" w:rsidR="00777034" w:rsidRPr="004140E8" w:rsidRDefault="00777034" w:rsidP="009441DB">
            <w:pPr>
              <w:jc w:val="right"/>
              <w:rPr>
                <w:rFonts w:asciiTheme="minorHAnsi" w:hAnsiTheme="minorHAnsi" w:cstheme="minorHAnsi"/>
                <w:color w:val="FF0000"/>
                <w:sz w:val="18"/>
                <w:szCs w:val="18"/>
                <w:lang w:eastAsia="en-GB"/>
              </w:rPr>
            </w:pPr>
            <w:r w:rsidRPr="004140E8">
              <w:rPr>
                <w:rFonts w:asciiTheme="minorHAnsi" w:hAnsiTheme="minorHAnsi" w:cstheme="minorHAnsi"/>
                <w:color w:val="000000" w:themeColor="text1"/>
                <w:sz w:val="18"/>
                <w:szCs w:val="18"/>
                <w:lang w:eastAsia="en-GB"/>
              </w:rPr>
              <w:t xml:space="preserve">23,874 </w:t>
            </w:r>
          </w:p>
        </w:tc>
        <w:tc>
          <w:tcPr>
            <w:tcW w:w="1276" w:type="dxa"/>
            <w:vAlign w:val="center"/>
          </w:tcPr>
          <w:p w14:paraId="45B7F3A9" w14:textId="5EC2576B" w:rsidR="00777034" w:rsidRPr="004140E8" w:rsidRDefault="00777034" w:rsidP="009441DB">
            <w:pPr>
              <w:jc w:val="right"/>
              <w:rPr>
                <w:rFonts w:asciiTheme="minorHAnsi" w:hAnsiTheme="minorHAnsi" w:cstheme="minorHAnsi"/>
                <w:color w:val="FF0000"/>
                <w:sz w:val="18"/>
                <w:szCs w:val="18"/>
                <w:lang w:eastAsia="en-GB"/>
              </w:rPr>
            </w:pPr>
            <w:r w:rsidRPr="004140E8">
              <w:rPr>
                <w:rFonts w:asciiTheme="minorHAnsi" w:hAnsiTheme="minorHAnsi" w:cstheme="minorHAnsi"/>
                <w:color w:val="000000" w:themeColor="text1"/>
                <w:sz w:val="18"/>
                <w:szCs w:val="18"/>
                <w:lang w:eastAsia="en-GB"/>
              </w:rPr>
              <w:t xml:space="preserve">95,689 </w:t>
            </w:r>
          </w:p>
        </w:tc>
        <w:tc>
          <w:tcPr>
            <w:tcW w:w="1276" w:type="dxa"/>
            <w:shd w:val="clear" w:color="auto" w:fill="auto"/>
            <w:noWrap/>
            <w:vAlign w:val="center"/>
          </w:tcPr>
          <w:p w14:paraId="3D0B6A1E" w14:textId="76EBB61F"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104,447 </w:t>
            </w:r>
          </w:p>
        </w:tc>
        <w:tc>
          <w:tcPr>
            <w:tcW w:w="1276" w:type="dxa"/>
            <w:vAlign w:val="center"/>
          </w:tcPr>
          <w:p w14:paraId="1C434FB1" w14:textId="5C6D60F4" w:rsidR="00777034" w:rsidRPr="004140E8" w:rsidRDefault="0026260C" w:rsidP="00372AD9">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147,744</w:t>
            </w:r>
          </w:p>
        </w:tc>
        <w:tc>
          <w:tcPr>
            <w:tcW w:w="1276" w:type="dxa"/>
            <w:shd w:val="clear" w:color="auto" w:fill="auto"/>
            <w:noWrap/>
            <w:vAlign w:val="center"/>
            <w:hideMark/>
          </w:tcPr>
          <w:p w14:paraId="79F2E4ED" w14:textId="39031487" w:rsidR="00777034" w:rsidRPr="004140E8" w:rsidRDefault="00691D4C"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92,939</w:t>
            </w:r>
            <w:r w:rsidR="00777034" w:rsidRPr="004140E8">
              <w:rPr>
                <w:rFonts w:asciiTheme="minorHAnsi" w:hAnsiTheme="minorHAnsi" w:cstheme="minorHAnsi"/>
                <w:color w:val="000000" w:themeColor="text1"/>
                <w:sz w:val="18"/>
                <w:szCs w:val="18"/>
                <w:lang w:eastAsia="en-GB"/>
              </w:rPr>
              <w:t xml:space="preserve"> </w:t>
            </w:r>
          </w:p>
        </w:tc>
      </w:tr>
      <w:tr w:rsidR="00777034" w:rsidRPr="00AE3872" w14:paraId="679DACA2" w14:textId="77777777" w:rsidTr="004140E8">
        <w:trPr>
          <w:trHeight w:val="360"/>
          <w:jc w:val="center"/>
        </w:trPr>
        <w:tc>
          <w:tcPr>
            <w:tcW w:w="2126" w:type="dxa"/>
            <w:shd w:val="clear" w:color="000000" w:fill="FFFFFF"/>
            <w:noWrap/>
            <w:vAlign w:val="center"/>
          </w:tcPr>
          <w:p w14:paraId="5A6B158C"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EBITDA %</w:t>
            </w:r>
          </w:p>
        </w:tc>
        <w:tc>
          <w:tcPr>
            <w:tcW w:w="1276" w:type="dxa"/>
            <w:vAlign w:val="center"/>
          </w:tcPr>
          <w:p w14:paraId="592684AF" w14:textId="5BDD123B"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19% </w:t>
            </w:r>
          </w:p>
        </w:tc>
        <w:tc>
          <w:tcPr>
            <w:tcW w:w="1276" w:type="dxa"/>
            <w:vAlign w:val="center"/>
          </w:tcPr>
          <w:p w14:paraId="35BD0BD6" w14:textId="39ACD3F2"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31% </w:t>
            </w:r>
          </w:p>
        </w:tc>
        <w:tc>
          <w:tcPr>
            <w:tcW w:w="1276" w:type="dxa"/>
            <w:shd w:val="clear" w:color="auto" w:fill="auto"/>
            <w:noWrap/>
            <w:vAlign w:val="center"/>
          </w:tcPr>
          <w:p w14:paraId="307BD78D" w14:textId="6495B3EA"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17% </w:t>
            </w:r>
          </w:p>
        </w:tc>
        <w:tc>
          <w:tcPr>
            <w:tcW w:w="1276" w:type="dxa"/>
            <w:vAlign w:val="center"/>
          </w:tcPr>
          <w:p w14:paraId="20B88130" w14:textId="6B2D5292" w:rsidR="00777034" w:rsidRPr="004140E8" w:rsidRDefault="0026260C" w:rsidP="00372AD9">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45%</w:t>
            </w:r>
          </w:p>
        </w:tc>
        <w:tc>
          <w:tcPr>
            <w:tcW w:w="1276" w:type="dxa"/>
            <w:shd w:val="clear" w:color="auto" w:fill="auto"/>
            <w:noWrap/>
            <w:vAlign w:val="center"/>
          </w:tcPr>
          <w:p w14:paraId="1A0908A7" w14:textId="463741BB" w:rsidR="00777034" w:rsidRPr="004140E8" w:rsidRDefault="00691D4C"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28</w:t>
            </w:r>
            <w:r w:rsidR="00777034" w:rsidRPr="004140E8">
              <w:rPr>
                <w:rFonts w:asciiTheme="minorHAnsi" w:hAnsiTheme="minorHAnsi" w:cstheme="minorHAnsi"/>
                <w:color w:val="000000" w:themeColor="text1"/>
                <w:sz w:val="18"/>
                <w:szCs w:val="18"/>
                <w:lang w:eastAsia="en-GB"/>
              </w:rPr>
              <w:t>%</w:t>
            </w:r>
          </w:p>
        </w:tc>
      </w:tr>
      <w:tr w:rsidR="00777034" w:rsidRPr="00AE3872" w14:paraId="6688037B" w14:textId="77777777" w:rsidTr="004140E8">
        <w:trPr>
          <w:trHeight w:val="360"/>
          <w:jc w:val="center"/>
        </w:trPr>
        <w:tc>
          <w:tcPr>
            <w:tcW w:w="2126" w:type="dxa"/>
            <w:shd w:val="clear" w:color="000000" w:fill="FFFFFF"/>
            <w:noWrap/>
            <w:vAlign w:val="center"/>
          </w:tcPr>
          <w:p w14:paraId="26F4A502"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NOPAT %</w:t>
            </w:r>
          </w:p>
        </w:tc>
        <w:tc>
          <w:tcPr>
            <w:tcW w:w="1276" w:type="dxa"/>
            <w:vAlign w:val="center"/>
          </w:tcPr>
          <w:p w14:paraId="126B159F" w14:textId="155ACAFC"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8.0% </w:t>
            </w:r>
          </w:p>
        </w:tc>
        <w:tc>
          <w:tcPr>
            <w:tcW w:w="1276" w:type="dxa"/>
            <w:vAlign w:val="center"/>
          </w:tcPr>
          <w:p w14:paraId="31292AB6" w14:textId="590ABFE6"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19.3% </w:t>
            </w:r>
          </w:p>
        </w:tc>
        <w:tc>
          <w:tcPr>
            <w:tcW w:w="1276" w:type="dxa"/>
            <w:shd w:val="clear" w:color="auto" w:fill="auto"/>
            <w:noWrap/>
            <w:vAlign w:val="center"/>
          </w:tcPr>
          <w:p w14:paraId="13585991" w14:textId="64A475D0"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5.4% </w:t>
            </w:r>
          </w:p>
        </w:tc>
        <w:tc>
          <w:tcPr>
            <w:tcW w:w="1276" w:type="dxa"/>
            <w:vAlign w:val="center"/>
          </w:tcPr>
          <w:p w14:paraId="0EC8E3C0" w14:textId="44C59463" w:rsidR="00777034" w:rsidRPr="004140E8" w:rsidRDefault="0026260C" w:rsidP="00372AD9">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24.7%</w:t>
            </w:r>
          </w:p>
        </w:tc>
        <w:tc>
          <w:tcPr>
            <w:tcW w:w="1276" w:type="dxa"/>
            <w:shd w:val="clear" w:color="auto" w:fill="auto"/>
            <w:noWrap/>
            <w:vAlign w:val="center"/>
          </w:tcPr>
          <w:p w14:paraId="3F70D429" w14:textId="50E16FBC" w:rsidR="00777034" w:rsidRPr="004140E8" w:rsidRDefault="00691D4C"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14.35</w:t>
            </w:r>
            <w:r w:rsidR="00777034" w:rsidRPr="004140E8">
              <w:rPr>
                <w:rFonts w:asciiTheme="minorHAnsi" w:hAnsiTheme="minorHAnsi" w:cstheme="minorHAnsi"/>
                <w:color w:val="000000" w:themeColor="text1"/>
                <w:sz w:val="18"/>
                <w:szCs w:val="18"/>
                <w:lang w:eastAsia="en-GB"/>
              </w:rPr>
              <w:t>%</w:t>
            </w:r>
          </w:p>
        </w:tc>
      </w:tr>
      <w:tr w:rsidR="00777034" w:rsidRPr="00AE3872" w14:paraId="3BCF8E26" w14:textId="77777777" w:rsidTr="004140E8">
        <w:trPr>
          <w:trHeight w:val="360"/>
          <w:jc w:val="center"/>
        </w:trPr>
        <w:tc>
          <w:tcPr>
            <w:tcW w:w="2126" w:type="dxa"/>
            <w:shd w:val="clear" w:color="000000" w:fill="FFFFFF"/>
            <w:noWrap/>
            <w:vAlign w:val="center"/>
            <w:hideMark/>
          </w:tcPr>
          <w:p w14:paraId="0AFA76AE"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ROE %</w:t>
            </w:r>
          </w:p>
        </w:tc>
        <w:tc>
          <w:tcPr>
            <w:tcW w:w="1276" w:type="dxa"/>
            <w:vAlign w:val="center"/>
          </w:tcPr>
          <w:p w14:paraId="45A7A164" w14:textId="0F86097F"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16.2%</w:t>
            </w:r>
          </w:p>
        </w:tc>
        <w:tc>
          <w:tcPr>
            <w:tcW w:w="1276" w:type="dxa"/>
            <w:vAlign w:val="center"/>
          </w:tcPr>
          <w:p w14:paraId="4AE74B4D" w14:textId="06CFE62E"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15.0% </w:t>
            </w:r>
          </w:p>
        </w:tc>
        <w:tc>
          <w:tcPr>
            <w:tcW w:w="1276" w:type="dxa"/>
            <w:shd w:val="clear" w:color="auto" w:fill="auto"/>
            <w:noWrap/>
            <w:vAlign w:val="center"/>
          </w:tcPr>
          <w:p w14:paraId="264097E0" w14:textId="56045317"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4.1%  </w:t>
            </w:r>
          </w:p>
        </w:tc>
        <w:tc>
          <w:tcPr>
            <w:tcW w:w="1276" w:type="dxa"/>
            <w:vAlign w:val="center"/>
          </w:tcPr>
          <w:p w14:paraId="683180F7" w14:textId="168D49E7" w:rsidR="00777034" w:rsidRPr="004140E8" w:rsidRDefault="0026260C" w:rsidP="00372AD9">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27.9%</w:t>
            </w:r>
          </w:p>
        </w:tc>
        <w:tc>
          <w:tcPr>
            <w:tcW w:w="1276" w:type="dxa"/>
            <w:shd w:val="clear" w:color="auto" w:fill="auto"/>
            <w:noWrap/>
            <w:vAlign w:val="center"/>
            <w:hideMark/>
          </w:tcPr>
          <w:p w14:paraId="170F2A1E" w14:textId="7388601A" w:rsidR="00777034" w:rsidRPr="004140E8" w:rsidRDefault="00691D4C"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15</w:t>
            </w:r>
            <w:r w:rsidR="00777034" w:rsidRPr="004140E8">
              <w:rPr>
                <w:rFonts w:asciiTheme="minorHAnsi" w:hAnsiTheme="minorHAnsi" w:cstheme="minorHAnsi"/>
                <w:color w:val="000000" w:themeColor="text1"/>
                <w:sz w:val="18"/>
                <w:szCs w:val="18"/>
                <w:lang w:eastAsia="en-GB"/>
              </w:rPr>
              <w:t xml:space="preserve">.8% </w:t>
            </w:r>
          </w:p>
        </w:tc>
      </w:tr>
      <w:tr w:rsidR="00777034" w:rsidRPr="00AE3872" w14:paraId="6B687A9F" w14:textId="77777777" w:rsidTr="004140E8">
        <w:trPr>
          <w:trHeight w:val="360"/>
          <w:jc w:val="center"/>
        </w:trPr>
        <w:tc>
          <w:tcPr>
            <w:tcW w:w="2126" w:type="dxa"/>
            <w:shd w:val="clear" w:color="000000" w:fill="FFFFFF"/>
            <w:noWrap/>
            <w:vAlign w:val="center"/>
            <w:hideMark/>
          </w:tcPr>
          <w:p w14:paraId="248D2C10"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ROA %</w:t>
            </w:r>
          </w:p>
        </w:tc>
        <w:tc>
          <w:tcPr>
            <w:tcW w:w="1276" w:type="dxa"/>
            <w:vAlign w:val="center"/>
          </w:tcPr>
          <w:p w14:paraId="56E016A3" w14:textId="23B7FC8F" w:rsidR="00777034" w:rsidRPr="004140E8" w:rsidRDefault="00777034" w:rsidP="009441DB">
            <w:pPr>
              <w:jc w:val="right"/>
              <w:rPr>
                <w:rFonts w:asciiTheme="minorHAnsi" w:hAnsiTheme="minorHAnsi" w:cstheme="minorHAnsi"/>
                <w:color w:val="FF0000"/>
                <w:sz w:val="18"/>
                <w:szCs w:val="18"/>
                <w:lang w:eastAsia="en-GB"/>
              </w:rPr>
            </w:pPr>
            <w:r w:rsidRPr="004140E8">
              <w:rPr>
                <w:rFonts w:asciiTheme="minorHAnsi" w:hAnsiTheme="minorHAnsi" w:cstheme="minorHAnsi"/>
                <w:color w:val="000000" w:themeColor="text1"/>
                <w:sz w:val="18"/>
                <w:szCs w:val="18"/>
                <w:lang w:eastAsia="en-GB"/>
              </w:rPr>
              <w:t>1.1%</w:t>
            </w:r>
          </w:p>
        </w:tc>
        <w:tc>
          <w:tcPr>
            <w:tcW w:w="1276" w:type="dxa"/>
            <w:vAlign w:val="center"/>
          </w:tcPr>
          <w:p w14:paraId="6DD14739" w14:textId="43C477C2" w:rsidR="00777034" w:rsidRPr="004140E8" w:rsidRDefault="00777034" w:rsidP="009441DB">
            <w:pPr>
              <w:jc w:val="right"/>
              <w:rPr>
                <w:rFonts w:asciiTheme="minorHAnsi" w:hAnsiTheme="minorHAnsi" w:cstheme="minorHAnsi"/>
                <w:color w:val="FF0000"/>
                <w:sz w:val="18"/>
                <w:szCs w:val="18"/>
                <w:lang w:eastAsia="en-GB"/>
              </w:rPr>
            </w:pPr>
            <w:r w:rsidRPr="004140E8">
              <w:rPr>
                <w:rFonts w:asciiTheme="minorHAnsi" w:hAnsiTheme="minorHAnsi" w:cstheme="minorHAnsi"/>
                <w:color w:val="000000" w:themeColor="text1"/>
                <w:sz w:val="18"/>
                <w:szCs w:val="18"/>
                <w:lang w:eastAsia="en-GB"/>
              </w:rPr>
              <w:t xml:space="preserve">3.2% </w:t>
            </w:r>
          </w:p>
        </w:tc>
        <w:tc>
          <w:tcPr>
            <w:tcW w:w="1276" w:type="dxa"/>
            <w:shd w:val="clear" w:color="auto" w:fill="auto"/>
            <w:noWrap/>
            <w:vAlign w:val="center"/>
          </w:tcPr>
          <w:p w14:paraId="10A65803" w14:textId="55CFC751"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0.5%  </w:t>
            </w:r>
          </w:p>
        </w:tc>
        <w:tc>
          <w:tcPr>
            <w:tcW w:w="1276" w:type="dxa"/>
            <w:vAlign w:val="center"/>
          </w:tcPr>
          <w:p w14:paraId="420BC66E" w14:textId="5BD85DA4" w:rsidR="00777034" w:rsidRPr="004140E8" w:rsidRDefault="0026260C" w:rsidP="00372AD9">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3.1%</w:t>
            </w:r>
          </w:p>
        </w:tc>
        <w:tc>
          <w:tcPr>
            <w:tcW w:w="1276" w:type="dxa"/>
            <w:shd w:val="clear" w:color="auto" w:fill="auto"/>
            <w:noWrap/>
            <w:vAlign w:val="center"/>
            <w:hideMark/>
          </w:tcPr>
          <w:p w14:paraId="588B19C5" w14:textId="51DBB95C" w:rsidR="00777034" w:rsidRPr="004140E8" w:rsidRDefault="00777034" w:rsidP="0023147B">
            <w:pPr>
              <w:jc w:val="right"/>
              <w:rPr>
                <w:rFonts w:asciiTheme="minorHAnsi" w:hAnsiTheme="minorHAnsi" w:cstheme="minorHAnsi"/>
                <w:b/>
                <w:bCs/>
                <w:i/>
                <w:iCs/>
                <w:color w:val="000000" w:themeColor="text1"/>
                <w:sz w:val="18"/>
                <w:szCs w:val="18"/>
                <w:lang w:eastAsia="en-GB"/>
              </w:rPr>
            </w:pPr>
            <w:r w:rsidRPr="004140E8">
              <w:rPr>
                <w:rFonts w:asciiTheme="minorHAnsi" w:hAnsiTheme="minorHAnsi" w:cstheme="minorHAnsi"/>
                <w:color w:val="000000" w:themeColor="text1"/>
                <w:sz w:val="18"/>
                <w:szCs w:val="18"/>
                <w:lang w:eastAsia="en-GB"/>
              </w:rPr>
              <w:t>1.</w:t>
            </w:r>
            <w:r w:rsidR="00691D4C" w:rsidRPr="004140E8">
              <w:rPr>
                <w:rFonts w:asciiTheme="minorHAnsi" w:hAnsiTheme="minorHAnsi" w:cstheme="minorHAnsi"/>
                <w:color w:val="000000" w:themeColor="text1"/>
                <w:sz w:val="18"/>
                <w:szCs w:val="18"/>
                <w:lang w:eastAsia="en-GB"/>
              </w:rPr>
              <w:t>98</w:t>
            </w:r>
            <w:r w:rsidRPr="004140E8">
              <w:rPr>
                <w:rFonts w:asciiTheme="minorHAnsi" w:hAnsiTheme="minorHAnsi" w:cstheme="minorHAnsi"/>
                <w:color w:val="000000" w:themeColor="text1"/>
                <w:sz w:val="18"/>
                <w:szCs w:val="18"/>
                <w:lang w:eastAsia="en-GB"/>
              </w:rPr>
              <w:t xml:space="preserve">% </w:t>
            </w:r>
          </w:p>
        </w:tc>
      </w:tr>
      <w:tr w:rsidR="00777034" w:rsidRPr="00AE3872" w14:paraId="5000EA89" w14:textId="77777777" w:rsidTr="004140E8">
        <w:trPr>
          <w:trHeight w:val="360"/>
          <w:jc w:val="center"/>
        </w:trPr>
        <w:tc>
          <w:tcPr>
            <w:tcW w:w="2126" w:type="dxa"/>
            <w:shd w:val="clear" w:color="000000" w:fill="FFFFFF"/>
            <w:noWrap/>
            <w:vAlign w:val="center"/>
          </w:tcPr>
          <w:p w14:paraId="223520B9"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Current Assets / Current liabilities</w:t>
            </w:r>
          </w:p>
        </w:tc>
        <w:tc>
          <w:tcPr>
            <w:tcW w:w="1276" w:type="dxa"/>
            <w:vAlign w:val="center"/>
          </w:tcPr>
          <w:p w14:paraId="6B350F87" w14:textId="6AC00910"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1.03 </w:t>
            </w:r>
          </w:p>
        </w:tc>
        <w:tc>
          <w:tcPr>
            <w:tcW w:w="1276" w:type="dxa"/>
            <w:vAlign w:val="center"/>
          </w:tcPr>
          <w:p w14:paraId="6DA1A254" w14:textId="53FA2CFB"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1.06 </w:t>
            </w:r>
          </w:p>
        </w:tc>
        <w:tc>
          <w:tcPr>
            <w:tcW w:w="1276" w:type="dxa"/>
            <w:shd w:val="clear" w:color="auto" w:fill="auto"/>
            <w:noWrap/>
            <w:vAlign w:val="center"/>
          </w:tcPr>
          <w:p w14:paraId="6CDD6D1E" w14:textId="647F2A1C"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0.87  </w:t>
            </w:r>
          </w:p>
        </w:tc>
        <w:tc>
          <w:tcPr>
            <w:tcW w:w="1276" w:type="dxa"/>
            <w:vAlign w:val="center"/>
          </w:tcPr>
          <w:p w14:paraId="145132FF" w14:textId="20BD84FF" w:rsidR="00777034" w:rsidRPr="004140E8" w:rsidRDefault="00587C38" w:rsidP="00372AD9">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0.87</w:t>
            </w:r>
          </w:p>
        </w:tc>
        <w:tc>
          <w:tcPr>
            <w:tcW w:w="1276" w:type="dxa"/>
            <w:shd w:val="clear" w:color="auto" w:fill="auto"/>
            <w:noWrap/>
            <w:vAlign w:val="center"/>
          </w:tcPr>
          <w:p w14:paraId="05B01ACD" w14:textId="7562D842" w:rsidR="00777034" w:rsidRPr="004140E8" w:rsidRDefault="00691D4C"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0.96</w:t>
            </w:r>
            <w:r w:rsidR="00777034" w:rsidRPr="004140E8">
              <w:rPr>
                <w:rFonts w:asciiTheme="minorHAnsi" w:hAnsiTheme="minorHAnsi" w:cstheme="minorHAnsi"/>
                <w:color w:val="000000" w:themeColor="text1"/>
                <w:sz w:val="18"/>
                <w:szCs w:val="18"/>
                <w:lang w:eastAsia="en-GB"/>
              </w:rPr>
              <w:t xml:space="preserve">  </w:t>
            </w:r>
          </w:p>
        </w:tc>
      </w:tr>
      <w:tr w:rsidR="00777034" w:rsidRPr="00AE3872" w14:paraId="691B3EEC" w14:textId="77777777" w:rsidTr="004140E8">
        <w:trPr>
          <w:trHeight w:val="360"/>
          <w:jc w:val="center"/>
        </w:trPr>
        <w:tc>
          <w:tcPr>
            <w:tcW w:w="2126" w:type="dxa"/>
            <w:shd w:val="clear" w:color="000000" w:fill="FFFFFF"/>
            <w:noWrap/>
            <w:vAlign w:val="center"/>
          </w:tcPr>
          <w:p w14:paraId="4E326F39"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Quick Ratio</w:t>
            </w:r>
          </w:p>
        </w:tc>
        <w:tc>
          <w:tcPr>
            <w:tcW w:w="1276" w:type="dxa"/>
            <w:vAlign w:val="center"/>
          </w:tcPr>
          <w:p w14:paraId="7FE1B54B" w14:textId="6365D6A4"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1.02 </w:t>
            </w:r>
          </w:p>
        </w:tc>
        <w:tc>
          <w:tcPr>
            <w:tcW w:w="1276" w:type="dxa"/>
            <w:vAlign w:val="center"/>
          </w:tcPr>
          <w:p w14:paraId="10F50B6A" w14:textId="05E87902"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1.05 </w:t>
            </w:r>
          </w:p>
        </w:tc>
        <w:tc>
          <w:tcPr>
            <w:tcW w:w="1276" w:type="dxa"/>
            <w:shd w:val="clear" w:color="auto" w:fill="auto"/>
            <w:noWrap/>
            <w:vAlign w:val="center"/>
          </w:tcPr>
          <w:p w14:paraId="23C39D14" w14:textId="148894A4"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0.87 </w:t>
            </w:r>
          </w:p>
        </w:tc>
        <w:tc>
          <w:tcPr>
            <w:tcW w:w="1276" w:type="dxa"/>
            <w:vAlign w:val="center"/>
          </w:tcPr>
          <w:p w14:paraId="3DE27A9F" w14:textId="21A3DDBD" w:rsidR="00777034" w:rsidRPr="004140E8" w:rsidRDefault="00587C38" w:rsidP="00372AD9">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0.87</w:t>
            </w:r>
          </w:p>
        </w:tc>
        <w:tc>
          <w:tcPr>
            <w:tcW w:w="1276" w:type="dxa"/>
            <w:shd w:val="clear" w:color="auto" w:fill="auto"/>
            <w:noWrap/>
            <w:vAlign w:val="center"/>
          </w:tcPr>
          <w:p w14:paraId="226DCB41" w14:textId="6C0F5402"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0.9</w:t>
            </w:r>
            <w:r w:rsidR="00691D4C" w:rsidRPr="004140E8">
              <w:rPr>
                <w:rFonts w:asciiTheme="minorHAnsi" w:hAnsiTheme="minorHAnsi" w:cstheme="minorHAnsi"/>
                <w:color w:val="000000" w:themeColor="text1"/>
                <w:sz w:val="18"/>
                <w:szCs w:val="18"/>
                <w:lang w:eastAsia="en-GB"/>
              </w:rPr>
              <w:t>5</w:t>
            </w:r>
          </w:p>
        </w:tc>
      </w:tr>
      <w:tr w:rsidR="00777034" w:rsidRPr="00AE3872" w14:paraId="088D0914" w14:textId="77777777" w:rsidTr="004140E8">
        <w:trPr>
          <w:trHeight w:val="360"/>
          <w:jc w:val="center"/>
        </w:trPr>
        <w:tc>
          <w:tcPr>
            <w:tcW w:w="2126" w:type="dxa"/>
            <w:shd w:val="clear" w:color="000000" w:fill="FFFFFF"/>
            <w:noWrap/>
            <w:vAlign w:val="center"/>
          </w:tcPr>
          <w:p w14:paraId="5549DA6B"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Accounts Receivable Days</w:t>
            </w:r>
          </w:p>
        </w:tc>
        <w:tc>
          <w:tcPr>
            <w:tcW w:w="1276" w:type="dxa"/>
            <w:vAlign w:val="center"/>
          </w:tcPr>
          <w:p w14:paraId="0D4D304A" w14:textId="366423CE"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17 </w:t>
            </w:r>
          </w:p>
        </w:tc>
        <w:tc>
          <w:tcPr>
            <w:tcW w:w="1276" w:type="dxa"/>
            <w:vAlign w:val="center"/>
          </w:tcPr>
          <w:p w14:paraId="65422C32" w14:textId="361FB969"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15 </w:t>
            </w:r>
          </w:p>
        </w:tc>
        <w:tc>
          <w:tcPr>
            <w:tcW w:w="1276" w:type="dxa"/>
            <w:shd w:val="clear" w:color="auto" w:fill="auto"/>
            <w:noWrap/>
            <w:vAlign w:val="center"/>
          </w:tcPr>
          <w:p w14:paraId="36A6658A" w14:textId="218C759D"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37 </w:t>
            </w:r>
          </w:p>
        </w:tc>
        <w:tc>
          <w:tcPr>
            <w:tcW w:w="1276" w:type="dxa"/>
            <w:vAlign w:val="center"/>
          </w:tcPr>
          <w:p w14:paraId="3BC334B4" w14:textId="267E70DB" w:rsidR="00777034" w:rsidRPr="004140E8" w:rsidRDefault="00587C38" w:rsidP="00372AD9">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38</w:t>
            </w:r>
          </w:p>
        </w:tc>
        <w:tc>
          <w:tcPr>
            <w:tcW w:w="1276" w:type="dxa"/>
            <w:shd w:val="clear" w:color="auto" w:fill="auto"/>
            <w:noWrap/>
            <w:vAlign w:val="center"/>
          </w:tcPr>
          <w:p w14:paraId="28921DC6" w14:textId="2316D0A2" w:rsidR="00777034" w:rsidRPr="004140E8" w:rsidRDefault="00691D4C"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27</w:t>
            </w:r>
          </w:p>
        </w:tc>
      </w:tr>
      <w:tr w:rsidR="00777034" w:rsidRPr="00AE3872" w14:paraId="3BC97DBF" w14:textId="77777777" w:rsidTr="004140E8">
        <w:trPr>
          <w:trHeight w:val="360"/>
          <w:jc w:val="center"/>
        </w:trPr>
        <w:tc>
          <w:tcPr>
            <w:tcW w:w="2126" w:type="dxa"/>
            <w:shd w:val="clear" w:color="000000" w:fill="FFFFFF"/>
            <w:noWrap/>
            <w:vAlign w:val="center"/>
          </w:tcPr>
          <w:p w14:paraId="25A1F712"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Assets Turnover</w:t>
            </w:r>
          </w:p>
        </w:tc>
        <w:tc>
          <w:tcPr>
            <w:tcW w:w="1276" w:type="dxa"/>
            <w:vAlign w:val="center"/>
          </w:tcPr>
          <w:p w14:paraId="519026DC" w14:textId="3F9F1E0E"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0.14 </w:t>
            </w:r>
          </w:p>
        </w:tc>
        <w:tc>
          <w:tcPr>
            <w:tcW w:w="1276" w:type="dxa"/>
            <w:vAlign w:val="center"/>
          </w:tcPr>
          <w:p w14:paraId="222F9E0A" w14:textId="5F2084C3"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0.18 </w:t>
            </w:r>
          </w:p>
        </w:tc>
        <w:tc>
          <w:tcPr>
            <w:tcW w:w="1276" w:type="dxa"/>
            <w:shd w:val="clear" w:color="auto" w:fill="auto"/>
            <w:noWrap/>
            <w:vAlign w:val="center"/>
          </w:tcPr>
          <w:p w14:paraId="17CEB07D" w14:textId="46FFAF65"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0.12 </w:t>
            </w:r>
          </w:p>
        </w:tc>
        <w:tc>
          <w:tcPr>
            <w:tcW w:w="1276" w:type="dxa"/>
            <w:vAlign w:val="center"/>
          </w:tcPr>
          <w:p w14:paraId="3456C8D6" w14:textId="5BBC4930" w:rsidR="00777034" w:rsidRPr="004140E8" w:rsidRDefault="00587C38" w:rsidP="00372AD9">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0.15</w:t>
            </w:r>
          </w:p>
        </w:tc>
        <w:tc>
          <w:tcPr>
            <w:tcW w:w="1276" w:type="dxa"/>
            <w:shd w:val="clear" w:color="auto" w:fill="auto"/>
            <w:noWrap/>
            <w:vAlign w:val="center"/>
          </w:tcPr>
          <w:p w14:paraId="6F55707E" w14:textId="4AC9A1F3"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0.15</w:t>
            </w:r>
          </w:p>
        </w:tc>
      </w:tr>
      <w:tr w:rsidR="00777034" w:rsidRPr="00AE3872" w14:paraId="5088C29A" w14:textId="77777777" w:rsidTr="004140E8">
        <w:trPr>
          <w:trHeight w:val="360"/>
          <w:jc w:val="center"/>
        </w:trPr>
        <w:tc>
          <w:tcPr>
            <w:tcW w:w="2126" w:type="dxa"/>
            <w:shd w:val="clear" w:color="000000" w:fill="FFFFFF"/>
            <w:noWrap/>
            <w:vAlign w:val="center"/>
            <w:hideMark/>
          </w:tcPr>
          <w:p w14:paraId="3BE9D87C"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Debt / Equity Ratio</w:t>
            </w:r>
          </w:p>
        </w:tc>
        <w:tc>
          <w:tcPr>
            <w:tcW w:w="1276" w:type="dxa"/>
            <w:vAlign w:val="center"/>
          </w:tcPr>
          <w:p w14:paraId="1522ED8F" w14:textId="193B2FFA" w:rsidR="00777034" w:rsidRPr="004140E8" w:rsidRDefault="00777034" w:rsidP="009441DB">
            <w:pPr>
              <w:jc w:val="right"/>
              <w:rPr>
                <w:rFonts w:asciiTheme="minorHAnsi" w:hAnsiTheme="minorHAnsi" w:cstheme="minorHAnsi"/>
                <w:color w:val="FF0000"/>
                <w:sz w:val="18"/>
                <w:szCs w:val="18"/>
                <w:lang w:eastAsia="en-GB"/>
              </w:rPr>
            </w:pPr>
            <w:r w:rsidRPr="004140E8">
              <w:rPr>
                <w:rFonts w:asciiTheme="minorHAnsi" w:hAnsiTheme="minorHAnsi" w:cstheme="minorHAnsi"/>
                <w:color w:val="000000" w:themeColor="text1"/>
                <w:sz w:val="18"/>
                <w:szCs w:val="18"/>
                <w:lang w:eastAsia="en-GB"/>
              </w:rPr>
              <w:t xml:space="preserve">11.98 </w:t>
            </w:r>
          </w:p>
        </w:tc>
        <w:tc>
          <w:tcPr>
            <w:tcW w:w="1276" w:type="dxa"/>
            <w:vAlign w:val="center"/>
          </w:tcPr>
          <w:p w14:paraId="780038A0" w14:textId="14D98ADD" w:rsidR="00777034" w:rsidRPr="004140E8" w:rsidRDefault="00777034" w:rsidP="009441DB">
            <w:pPr>
              <w:jc w:val="right"/>
              <w:rPr>
                <w:rFonts w:asciiTheme="minorHAnsi" w:hAnsiTheme="minorHAnsi" w:cstheme="minorHAnsi"/>
                <w:color w:val="FF0000"/>
                <w:sz w:val="18"/>
                <w:szCs w:val="18"/>
                <w:lang w:eastAsia="en-GB"/>
              </w:rPr>
            </w:pPr>
            <w:r w:rsidRPr="004140E8">
              <w:rPr>
                <w:rFonts w:asciiTheme="minorHAnsi" w:hAnsiTheme="minorHAnsi" w:cstheme="minorHAnsi"/>
                <w:color w:val="000000" w:themeColor="text1"/>
                <w:sz w:val="18"/>
                <w:szCs w:val="18"/>
                <w:lang w:eastAsia="en-GB"/>
              </w:rPr>
              <w:t xml:space="preserve">3.11 </w:t>
            </w:r>
          </w:p>
        </w:tc>
        <w:tc>
          <w:tcPr>
            <w:tcW w:w="1276" w:type="dxa"/>
            <w:shd w:val="clear" w:color="auto" w:fill="auto"/>
            <w:noWrap/>
            <w:vAlign w:val="center"/>
          </w:tcPr>
          <w:p w14:paraId="3B893C60" w14:textId="7878E58F"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5.64  </w:t>
            </w:r>
          </w:p>
        </w:tc>
        <w:tc>
          <w:tcPr>
            <w:tcW w:w="1276" w:type="dxa"/>
            <w:vAlign w:val="center"/>
          </w:tcPr>
          <w:p w14:paraId="043BEE2C" w14:textId="6150A927" w:rsidR="00777034" w:rsidRPr="004140E8" w:rsidRDefault="00587C38" w:rsidP="00372AD9">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6.82</w:t>
            </w:r>
          </w:p>
        </w:tc>
        <w:tc>
          <w:tcPr>
            <w:tcW w:w="1276" w:type="dxa"/>
            <w:shd w:val="clear" w:color="auto" w:fill="auto"/>
            <w:noWrap/>
            <w:vAlign w:val="center"/>
            <w:hideMark/>
          </w:tcPr>
          <w:p w14:paraId="1ADDF83B" w14:textId="3D4E8CBA" w:rsidR="00777034" w:rsidRPr="004140E8" w:rsidRDefault="00777034" w:rsidP="0023147B">
            <w:pPr>
              <w:jc w:val="right"/>
              <w:rPr>
                <w:rFonts w:asciiTheme="minorHAnsi" w:hAnsiTheme="minorHAnsi" w:cstheme="minorHAnsi"/>
                <w:b/>
                <w:bCs/>
                <w:i/>
                <w:iCs/>
                <w:color w:val="000000" w:themeColor="text1"/>
                <w:sz w:val="18"/>
                <w:szCs w:val="18"/>
                <w:lang w:eastAsia="en-GB"/>
              </w:rPr>
            </w:pPr>
            <w:r w:rsidRPr="004140E8">
              <w:rPr>
                <w:rFonts w:asciiTheme="minorHAnsi" w:hAnsiTheme="minorHAnsi" w:cstheme="minorHAnsi"/>
                <w:color w:val="000000" w:themeColor="text1"/>
                <w:sz w:val="18"/>
                <w:szCs w:val="18"/>
                <w:lang w:eastAsia="en-GB"/>
              </w:rPr>
              <w:t>6.</w:t>
            </w:r>
            <w:r w:rsidR="00691D4C" w:rsidRPr="004140E8">
              <w:rPr>
                <w:rFonts w:asciiTheme="minorHAnsi" w:hAnsiTheme="minorHAnsi" w:cstheme="minorHAnsi"/>
                <w:color w:val="000000" w:themeColor="text1"/>
                <w:sz w:val="18"/>
                <w:szCs w:val="18"/>
                <w:lang w:eastAsia="en-GB"/>
              </w:rPr>
              <w:t xml:space="preserve">89  </w:t>
            </w:r>
          </w:p>
        </w:tc>
      </w:tr>
    </w:tbl>
    <w:p w14:paraId="299E7F9D" w14:textId="77777777" w:rsidR="004F168A" w:rsidRPr="00D25BE7" w:rsidRDefault="004F168A" w:rsidP="004F168A">
      <w:pPr>
        <w:rPr>
          <w:rFonts w:asciiTheme="minorHAnsi" w:hAnsiTheme="minorHAnsi"/>
          <w:color w:val="000000" w:themeColor="text1"/>
          <w:lang w:val="en-GB"/>
        </w:rPr>
      </w:pPr>
      <w:r w:rsidRPr="00D25BE7">
        <w:rPr>
          <w:rFonts w:asciiTheme="minorHAnsi" w:hAnsiTheme="minorHAnsi"/>
        </w:rPr>
        <w:t xml:space="preserve"> </w:t>
      </w:r>
    </w:p>
    <w:p w14:paraId="3DF9275F" w14:textId="5D0705BA" w:rsidR="006106C9" w:rsidRDefault="006106C9" w:rsidP="008A306E">
      <w:pPr>
        <w:pStyle w:val="ListParagraph"/>
        <w:ind w:left="426" w:hanging="426"/>
        <w:rPr>
          <w:rFonts w:asciiTheme="minorHAnsi" w:hAnsiTheme="minorHAnsi"/>
          <w:color w:val="000000" w:themeColor="text1"/>
          <w:szCs w:val="22"/>
          <w:lang w:val="en-GB"/>
        </w:rPr>
      </w:pPr>
      <w:r>
        <w:rPr>
          <w:rFonts w:asciiTheme="minorHAnsi" w:hAnsiTheme="minorHAnsi"/>
          <w:color w:val="000000" w:themeColor="text1"/>
          <w:szCs w:val="22"/>
          <w:lang w:val="en-GB"/>
        </w:rPr>
        <w:t xml:space="preserve">Two </w:t>
      </w:r>
      <w:r w:rsidR="00355085">
        <w:rPr>
          <w:rFonts w:asciiTheme="minorHAnsi" w:hAnsiTheme="minorHAnsi"/>
          <w:color w:val="000000" w:themeColor="text1"/>
          <w:szCs w:val="22"/>
          <w:lang w:val="en-GB"/>
        </w:rPr>
        <w:t xml:space="preserve">less positive </w:t>
      </w:r>
      <w:r>
        <w:rPr>
          <w:rFonts w:asciiTheme="minorHAnsi" w:hAnsiTheme="minorHAnsi"/>
          <w:color w:val="000000" w:themeColor="text1"/>
          <w:szCs w:val="22"/>
          <w:lang w:val="en-GB"/>
        </w:rPr>
        <w:t xml:space="preserve">factors worth highlighting are the more than doubling of Accounts Receivable Days from 17 to 38 </w:t>
      </w:r>
      <w:r w:rsidR="00355085">
        <w:rPr>
          <w:rFonts w:asciiTheme="minorHAnsi" w:hAnsiTheme="minorHAnsi"/>
          <w:color w:val="000000" w:themeColor="text1"/>
          <w:szCs w:val="22"/>
          <w:lang w:val="en-GB"/>
        </w:rPr>
        <w:t>and the reduction in liquidity – the Current Ratio has declined from 1.06 in 2015/16 to 0.87 for 2016/17 and 2017/18.</w:t>
      </w:r>
    </w:p>
    <w:p w14:paraId="564B1835" w14:textId="19EC8724" w:rsidR="00621CBB" w:rsidRDefault="00621CBB" w:rsidP="008A306E">
      <w:pPr>
        <w:pStyle w:val="ListParagraph"/>
        <w:ind w:left="426" w:hanging="426"/>
        <w:rPr>
          <w:rFonts w:asciiTheme="minorHAnsi" w:hAnsiTheme="minorHAnsi"/>
          <w:color w:val="000000" w:themeColor="text1"/>
          <w:szCs w:val="22"/>
          <w:lang w:val="en-GB"/>
        </w:rPr>
      </w:pPr>
      <w:r>
        <w:rPr>
          <w:rFonts w:asciiTheme="minorHAnsi" w:hAnsiTheme="minorHAnsi"/>
          <w:color w:val="000000" w:themeColor="text1"/>
          <w:szCs w:val="22"/>
          <w:lang w:val="en-GB"/>
        </w:rPr>
        <w:t xml:space="preserve">Despite the impressive improvements in performance, LPB has not yet provided the GoL with any dividends. </w:t>
      </w:r>
    </w:p>
    <w:p w14:paraId="54ADC318" w14:textId="4619EB81" w:rsidR="007279BB" w:rsidRPr="0023147B" w:rsidRDefault="007279BB" w:rsidP="008A306E">
      <w:pPr>
        <w:pStyle w:val="ListParagraph"/>
        <w:ind w:left="426" w:hanging="426"/>
        <w:rPr>
          <w:rFonts w:asciiTheme="minorHAnsi" w:hAnsiTheme="minorHAnsi"/>
          <w:color w:val="000000" w:themeColor="text1"/>
          <w:szCs w:val="22"/>
          <w:lang w:val="en-GB"/>
        </w:rPr>
      </w:pPr>
      <w:r>
        <w:rPr>
          <w:rFonts w:asciiTheme="minorHAnsi" w:hAnsiTheme="minorHAnsi"/>
          <w:color w:val="000000" w:themeColor="text1"/>
          <w:szCs w:val="22"/>
          <w:lang w:val="en-GB"/>
        </w:rPr>
        <w:t xml:space="preserve">Although LPB is not the largest SOE, the total remuneration to the LPB Board is greater than any other SOE’s Board. </w:t>
      </w:r>
    </w:p>
    <w:p w14:paraId="5F70909C" w14:textId="5BD5DC21" w:rsidR="00E96BD2" w:rsidRPr="00D25BE7" w:rsidRDefault="00E96BD2" w:rsidP="008A306E">
      <w:pPr>
        <w:pStyle w:val="ListParagraph"/>
        <w:ind w:left="426" w:hanging="426"/>
        <w:rPr>
          <w:rFonts w:asciiTheme="minorHAnsi" w:hAnsiTheme="minorHAnsi"/>
          <w:color w:val="000000" w:themeColor="text1"/>
          <w:szCs w:val="22"/>
          <w:lang w:val="en-GB"/>
        </w:rPr>
      </w:pPr>
      <w:r w:rsidRPr="00D25BE7">
        <w:rPr>
          <w:rFonts w:asciiTheme="minorHAnsi" w:hAnsiTheme="minorHAnsi" w:cs="Arial"/>
          <w:szCs w:val="22"/>
        </w:rPr>
        <w:t>LPB's latest three year Strategic Plan, covering the period 2016-2018, was adopted by LPB in October 2015.  The elements of this Plan include better targeting of customers through segmentation, upgrading human resources, education of clients in financial literacy</w:t>
      </w:r>
      <w:r w:rsidRPr="00D25BE7">
        <w:rPr>
          <w:rFonts w:asciiTheme="minorHAnsi" w:hAnsiTheme="minorHAnsi" w:cs="Arial"/>
          <w:szCs w:val="22"/>
          <w:lang w:val="en-GB"/>
        </w:rPr>
        <w:t>, development of new products to meet customer needs, improving the quality of service, and a strong continuing focus on sustainability.</w:t>
      </w:r>
    </w:p>
    <w:p w14:paraId="6CAF332F" w14:textId="7886A611" w:rsidR="009339AB" w:rsidRPr="00D25BE7" w:rsidRDefault="00E23BDF" w:rsidP="009339AB">
      <w:pPr>
        <w:pStyle w:val="ListParagraph"/>
        <w:ind w:left="426" w:hanging="426"/>
        <w:rPr>
          <w:rFonts w:asciiTheme="minorHAnsi" w:hAnsiTheme="minorHAnsi"/>
          <w:color w:val="000000" w:themeColor="text1"/>
          <w:szCs w:val="22"/>
          <w:lang w:val="en-GB"/>
        </w:rPr>
      </w:pPr>
      <w:r w:rsidRPr="004140E8">
        <w:rPr>
          <w:rFonts w:asciiTheme="minorHAnsi" w:hAnsiTheme="minorHAnsi"/>
          <w:b/>
          <w:sz w:val="24"/>
          <w:szCs w:val="24"/>
          <w:lang w:val="en-GB"/>
        </w:rPr>
        <w:t>Basotho Enterprise Development Corporation</w:t>
      </w:r>
      <w:r w:rsidR="00436202" w:rsidRPr="004140E8">
        <w:rPr>
          <w:rFonts w:asciiTheme="minorHAnsi" w:hAnsiTheme="minorHAnsi"/>
          <w:b/>
          <w:lang w:val="en-GB"/>
        </w:rPr>
        <w:t xml:space="preserve"> - </w:t>
      </w:r>
      <w:r w:rsidRPr="00D25BE7">
        <w:rPr>
          <w:rFonts w:asciiTheme="minorHAnsi" w:eastAsia="Arial Unicode MS" w:hAnsiTheme="minorHAnsi" w:cs="Arial"/>
          <w:szCs w:val="22"/>
          <w:lang w:val="en-GB"/>
        </w:rPr>
        <w:t xml:space="preserve">BEDCO </w:t>
      </w:r>
      <w:r w:rsidR="007E7CFB" w:rsidRPr="00D25BE7">
        <w:rPr>
          <w:rFonts w:asciiTheme="minorHAnsi" w:eastAsia="Arial Unicode MS" w:hAnsiTheme="minorHAnsi" w:cs="Arial"/>
          <w:szCs w:val="22"/>
          <w:lang w:val="en-GB"/>
        </w:rPr>
        <w:t xml:space="preserve">has </w:t>
      </w:r>
      <w:r w:rsidRPr="00D25BE7">
        <w:rPr>
          <w:rFonts w:asciiTheme="minorHAnsi" w:eastAsia="Arial Unicode MS" w:hAnsiTheme="minorHAnsi" w:cs="Arial"/>
          <w:szCs w:val="22"/>
          <w:lang w:val="en-GB"/>
        </w:rPr>
        <w:t xml:space="preserve">the </w:t>
      </w:r>
      <w:r w:rsidR="007E7CFB" w:rsidRPr="00D25BE7">
        <w:rPr>
          <w:rFonts w:asciiTheme="minorHAnsi" w:eastAsia="Arial Unicode MS" w:hAnsiTheme="minorHAnsi" w:cs="Arial"/>
          <w:szCs w:val="22"/>
          <w:lang w:val="en-GB"/>
        </w:rPr>
        <w:t xml:space="preserve">principal objective of </w:t>
      </w:r>
      <w:r w:rsidRPr="00D25BE7">
        <w:rPr>
          <w:rFonts w:asciiTheme="minorHAnsi" w:eastAsia="Arial Unicode MS" w:hAnsiTheme="minorHAnsi" w:cs="Arial"/>
          <w:szCs w:val="22"/>
          <w:lang w:val="en-GB"/>
        </w:rPr>
        <w:t xml:space="preserve">establishment and development of Basotho owned enterprises with particular emphasis on the promotion of indigenous entrepreneurial skills.  BEDCO is 100 percent owned by government.  It was originally created in 1975 as a subsidiary of the LNDC and in 1980 became an independent corporation.  The focus of its operations is to support the development of small and medium enterprises (SMEs) through training, technical and financial assistance, provision of work space and industrial estates and procurement of raw materials. </w:t>
      </w:r>
      <w:r w:rsidR="005D7B86">
        <w:rPr>
          <w:rFonts w:asciiTheme="minorHAnsi" w:eastAsia="Arial Unicode MS" w:hAnsiTheme="minorHAnsi" w:cs="Arial"/>
          <w:szCs w:val="22"/>
          <w:lang w:val="en-GB"/>
        </w:rPr>
        <w:t>S</w:t>
      </w:r>
      <w:r w:rsidRPr="00D25BE7">
        <w:rPr>
          <w:rFonts w:asciiTheme="minorHAnsi" w:eastAsia="Arial Unicode MS" w:hAnsiTheme="minorHAnsi" w:cs="Arial"/>
          <w:szCs w:val="22"/>
          <w:lang w:val="en-GB"/>
        </w:rPr>
        <w:t>tudies indicate that BEDCO has a history of overlap of functions with LNDC, overstaffing, inadequate service delivery and heavy dependence on subsidies from government.</w:t>
      </w:r>
      <w:r w:rsidR="00DA56B6" w:rsidRPr="00D25BE7">
        <w:rPr>
          <w:rFonts w:asciiTheme="minorHAnsi" w:eastAsia="Arial Unicode MS" w:hAnsiTheme="minorHAnsi" w:cs="Arial"/>
          <w:szCs w:val="22"/>
          <w:lang w:val="en-GB"/>
        </w:rPr>
        <w:t xml:space="preserve"> </w:t>
      </w:r>
      <w:r w:rsidRPr="00D25BE7">
        <w:rPr>
          <w:rFonts w:asciiTheme="minorHAnsi" w:eastAsia="Arial Unicode MS" w:hAnsiTheme="minorHAnsi" w:cs="Arial"/>
          <w:szCs w:val="22"/>
          <w:lang w:val="en-GB"/>
        </w:rPr>
        <w:t xml:space="preserve">Recommendations </w:t>
      </w:r>
      <w:r w:rsidR="005D7B86">
        <w:rPr>
          <w:rFonts w:asciiTheme="minorHAnsi" w:eastAsia="Arial Unicode MS" w:hAnsiTheme="minorHAnsi" w:cs="Arial"/>
          <w:szCs w:val="22"/>
          <w:lang w:val="en-GB"/>
        </w:rPr>
        <w:t xml:space="preserve">have </w:t>
      </w:r>
      <w:r w:rsidRPr="00D25BE7">
        <w:rPr>
          <w:rFonts w:asciiTheme="minorHAnsi" w:eastAsia="Arial Unicode MS" w:hAnsiTheme="minorHAnsi" w:cs="Arial"/>
          <w:szCs w:val="22"/>
          <w:lang w:val="en-GB"/>
        </w:rPr>
        <w:lastRenderedPageBreak/>
        <w:t>included rationali</w:t>
      </w:r>
      <w:r w:rsidR="00DA56B6" w:rsidRPr="00D25BE7">
        <w:rPr>
          <w:rFonts w:asciiTheme="minorHAnsi" w:eastAsia="Arial Unicode MS" w:hAnsiTheme="minorHAnsi" w:cs="Arial"/>
          <w:szCs w:val="22"/>
          <w:lang w:val="en-GB"/>
        </w:rPr>
        <w:t>s</w:t>
      </w:r>
      <w:r w:rsidRPr="00D25BE7">
        <w:rPr>
          <w:rFonts w:asciiTheme="minorHAnsi" w:eastAsia="Arial Unicode MS" w:hAnsiTheme="minorHAnsi" w:cs="Arial"/>
          <w:szCs w:val="22"/>
          <w:lang w:val="en-GB"/>
        </w:rPr>
        <w:t>ing and revitali</w:t>
      </w:r>
      <w:r w:rsidR="00DA56B6" w:rsidRPr="00D25BE7">
        <w:rPr>
          <w:rFonts w:asciiTheme="minorHAnsi" w:eastAsia="Arial Unicode MS" w:hAnsiTheme="minorHAnsi" w:cs="Arial"/>
          <w:szCs w:val="22"/>
          <w:lang w:val="en-GB"/>
        </w:rPr>
        <w:t>s</w:t>
      </w:r>
      <w:r w:rsidRPr="00D25BE7">
        <w:rPr>
          <w:rFonts w:asciiTheme="minorHAnsi" w:eastAsia="Arial Unicode MS" w:hAnsiTheme="minorHAnsi" w:cs="Arial"/>
          <w:szCs w:val="22"/>
          <w:lang w:val="en-GB"/>
        </w:rPr>
        <w:t xml:space="preserve">ing BEDCO's operations, and folding BEDCO's functions back into LNDC.  </w:t>
      </w:r>
    </w:p>
    <w:p w14:paraId="4509E634" w14:textId="571294A0" w:rsidR="006333BC" w:rsidRPr="007A0F4A" w:rsidRDefault="006333BC" w:rsidP="009339AB">
      <w:pPr>
        <w:pStyle w:val="ListParagraph"/>
        <w:ind w:left="426" w:hanging="426"/>
        <w:rPr>
          <w:rFonts w:asciiTheme="minorHAnsi" w:hAnsiTheme="minorHAnsi"/>
          <w:color w:val="000000" w:themeColor="text1"/>
          <w:szCs w:val="22"/>
          <w:lang w:val="en-GB"/>
        </w:rPr>
      </w:pPr>
      <w:r w:rsidRPr="00D25BE7">
        <w:rPr>
          <w:rFonts w:asciiTheme="minorHAnsi" w:hAnsiTheme="minorHAnsi"/>
          <w:color w:val="000000" w:themeColor="text1"/>
          <w:szCs w:val="22"/>
          <w:lang w:val="en-GB"/>
        </w:rPr>
        <w:t>BEDCO carries out its mandate through activities including:</w:t>
      </w:r>
      <w:r w:rsidRPr="00D25BE7">
        <w:rPr>
          <w:rFonts w:asciiTheme="minorHAnsi" w:hAnsiTheme="minorHAnsi" w:cs="Arial"/>
          <w:lang w:val="en-GB"/>
        </w:rPr>
        <w:t xml:space="preserve"> Enterprise establishment and development</w:t>
      </w:r>
      <w:r w:rsidR="009339AB" w:rsidRPr="00D25BE7">
        <w:rPr>
          <w:rFonts w:asciiTheme="minorHAnsi" w:hAnsiTheme="minorHAnsi" w:cs="Arial"/>
          <w:lang w:val="en-GB"/>
        </w:rPr>
        <w:t xml:space="preserve">; </w:t>
      </w:r>
      <w:r w:rsidRPr="00D25BE7">
        <w:rPr>
          <w:rFonts w:asciiTheme="minorHAnsi" w:hAnsiTheme="minorHAnsi" w:cs="Arial"/>
          <w:lang w:val="en-GB"/>
        </w:rPr>
        <w:t>Technical and business management training to entrepreneurs and trainees in the various programmes</w:t>
      </w:r>
      <w:r w:rsidR="009339AB" w:rsidRPr="00D25BE7">
        <w:rPr>
          <w:rFonts w:asciiTheme="minorHAnsi" w:hAnsiTheme="minorHAnsi" w:cs="Arial"/>
          <w:lang w:val="en-GB"/>
        </w:rPr>
        <w:t xml:space="preserve">; </w:t>
      </w:r>
      <w:r w:rsidRPr="00D25BE7">
        <w:rPr>
          <w:rFonts w:asciiTheme="minorHAnsi" w:hAnsiTheme="minorHAnsi" w:cs="Arial"/>
          <w:lang w:val="en-GB"/>
        </w:rPr>
        <w:t>Counselling assistance to entrepreneurs in all managerial skills providing entrepreneurs with technical know-how for quality control, design and marketing products</w:t>
      </w:r>
      <w:r w:rsidR="009339AB" w:rsidRPr="00D25BE7">
        <w:rPr>
          <w:rFonts w:asciiTheme="minorHAnsi" w:hAnsiTheme="minorHAnsi" w:cs="Arial"/>
          <w:lang w:val="en-GB"/>
        </w:rPr>
        <w:t xml:space="preserve">; </w:t>
      </w:r>
      <w:r w:rsidRPr="00D25BE7">
        <w:rPr>
          <w:rFonts w:asciiTheme="minorHAnsi" w:hAnsiTheme="minorHAnsi" w:cs="Arial"/>
          <w:lang w:val="en-GB"/>
        </w:rPr>
        <w:t>Providing advisory service to entrepreneurs</w:t>
      </w:r>
      <w:r w:rsidR="009339AB" w:rsidRPr="00D25BE7">
        <w:rPr>
          <w:rFonts w:asciiTheme="minorHAnsi" w:hAnsiTheme="minorHAnsi" w:cs="Arial"/>
          <w:lang w:val="en-GB"/>
        </w:rPr>
        <w:t xml:space="preserve">; </w:t>
      </w:r>
      <w:r w:rsidRPr="00D25BE7">
        <w:rPr>
          <w:rFonts w:asciiTheme="minorHAnsi" w:hAnsiTheme="minorHAnsi" w:cs="Arial"/>
          <w:lang w:val="en-GB"/>
        </w:rPr>
        <w:t>Provision of workspace by means of renting work units at subsidized rental rates in all estates</w:t>
      </w:r>
      <w:r w:rsidR="009339AB" w:rsidRPr="00D25BE7">
        <w:rPr>
          <w:rFonts w:asciiTheme="minorHAnsi" w:hAnsiTheme="minorHAnsi" w:cs="Arial"/>
          <w:lang w:val="en-GB"/>
        </w:rPr>
        <w:t xml:space="preserve">; </w:t>
      </w:r>
      <w:r w:rsidRPr="00D25BE7">
        <w:rPr>
          <w:rFonts w:asciiTheme="minorHAnsi" w:hAnsiTheme="minorHAnsi" w:cs="Arial"/>
          <w:lang w:val="en-GB"/>
        </w:rPr>
        <w:t>Providing common workshop facility where machinery can be hired or assistance obtained at reasonable price</w:t>
      </w:r>
      <w:r w:rsidR="009339AB" w:rsidRPr="00D25BE7">
        <w:rPr>
          <w:rFonts w:asciiTheme="minorHAnsi" w:hAnsiTheme="minorHAnsi" w:cs="Arial"/>
          <w:lang w:val="en-GB"/>
        </w:rPr>
        <w:t xml:space="preserve">; </w:t>
      </w:r>
      <w:r w:rsidRPr="00D25BE7">
        <w:rPr>
          <w:rFonts w:asciiTheme="minorHAnsi" w:hAnsiTheme="minorHAnsi" w:cs="Arial"/>
          <w:lang w:val="en-GB"/>
        </w:rPr>
        <w:t>Providing a timber yard where wood material and accessories can be bought at reasonable prices</w:t>
      </w:r>
      <w:r w:rsidR="009339AB" w:rsidRPr="00D25BE7">
        <w:rPr>
          <w:rFonts w:asciiTheme="minorHAnsi" w:hAnsiTheme="minorHAnsi" w:cs="Arial"/>
          <w:lang w:val="en-GB"/>
        </w:rPr>
        <w:t xml:space="preserve">; and </w:t>
      </w:r>
      <w:r w:rsidRPr="00D25BE7">
        <w:rPr>
          <w:rFonts w:asciiTheme="minorHAnsi" w:hAnsiTheme="minorHAnsi" w:cs="Arial"/>
          <w:lang w:val="en-GB"/>
        </w:rPr>
        <w:t xml:space="preserve">Running a production workshop that can be visited by entrepreneurs to get knowledge of modern furniture production and to promote furniture made by Basotho. </w:t>
      </w:r>
    </w:p>
    <w:p w14:paraId="08AC0CA5" w14:textId="05EA7D98" w:rsidR="009B28F5" w:rsidRPr="007A0F4A" w:rsidRDefault="009B28F5" w:rsidP="00B32D85">
      <w:pPr>
        <w:pStyle w:val="ListParagraph"/>
        <w:ind w:left="426" w:hanging="426"/>
        <w:rPr>
          <w:rFonts w:asciiTheme="minorHAnsi" w:hAnsiTheme="minorHAnsi"/>
          <w:color w:val="000000" w:themeColor="text1"/>
          <w:szCs w:val="22"/>
          <w:lang w:val="en-GB"/>
        </w:rPr>
      </w:pPr>
      <w:r w:rsidRPr="00D25BE7">
        <w:rPr>
          <w:rFonts w:asciiTheme="minorHAnsi" w:hAnsiTheme="minorHAnsi"/>
          <w:lang w:val="en-GB"/>
        </w:rPr>
        <w:t>Evidence suggests this is a key SOE ripe for restructure and fundamental reform. Its mission is valid, but government needs to explore more financial effective mechanisms to achieve the stated business objectives. BEDCO is behind in completing its financial statements</w:t>
      </w:r>
      <w:r>
        <w:rPr>
          <w:rFonts w:asciiTheme="minorHAnsi" w:hAnsiTheme="minorHAnsi"/>
          <w:lang w:val="en-GB"/>
        </w:rPr>
        <w:t xml:space="preserve"> – the last AFS relate to the financial year 2015/16. As from February 2020 BEDCO has a new CEO; the previous CEO left in 2019 after a </w:t>
      </w:r>
      <w:proofErr w:type="gramStart"/>
      <w:r>
        <w:rPr>
          <w:rFonts w:asciiTheme="minorHAnsi" w:hAnsiTheme="minorHAnsi"/>
          <w:lang w:val="en-GB"/>
        </w:rPr>
        <w:t>3 year</w:t>
      </w:r>
      <w:proofErr w:type="gramEnd"/>
      <w:r>
        <w:rPr>
          <w:rFonts w:asciiTheme="minorHAnsi" w:hAnsiTheme="minorHAnsi"/>
          <w:lang w:val="en-GB"/>
        </w:rPr>
        <w:t xml:space="preserve"> term during which time no AFS were prepared. BEDCO, however, continues to receive funding from the Ministry for Small Business Development.</w:t>
      </w:r>
      <w:r w:rsidR="00CC7595">
        <w:rPr>
          <w:rFonts w:asciiTheme="minorHAnsi" w:hAnsiTheme="minorHAnsi"/>
          <w:lang w:val="en-GB"/>
        </w:rPr>
        <w:t xml:space="preserve"> In the most recent FS for the FY ending 31/03/2016 </w:t>
      </w:r>
      <w:r w:rsidR="005966E5">
        <w:rPr>
          <w:rFonts w:asciiTheme="minorHAnsi" w:hAnsiTheme="minorHAnsi"/>
          <w:lang w:val="en-GB"/>
        </w:rPr>
        <w:t>the Auditor-General declines to provide an Opinion on the financial statements with the following disclaimer “</w:t>
      </w:r>
      <w:r w:rsidR="005966E5" w:rsidRPr="007A0F4A">
        <w:rPr>
          <w:rFonts w:asciiTheme="minorHAnsi" w:hAnsiTheme="minorHAnsi"/>
          <w:i/>
          <w:lang w:val="en-GB"/>
        </w:rPr>
        <w:t xml:space="preserve">I do not express an opinion on the accompanying financial statements of the Corporation. Because of the </w:t>
      </w:r>
      <w:r w:rsidR="00A26091" w:rsidRPr="007A0F4A">
        <w:rPr>
          <w:rFonts w:asciiTheme="minorHAnsi" w:hAnsiTheme="minorHAnsi"/>
          <w:i/>
          <w:lang w:val="en-GB"/>
        </w:rPr>
        <w:t>significance of the matter described in the Basis for disclaimer of Opinion section of my report, I have not been able to obtain sufficient appropriate audit evidence to provide a basis for an audit opinion on these financial statements</w:t>
      </w:r>
      <w:r w:rsidR="00A26091">
        <w:rPr>
          <w:rFonts w:asciiTheme="minorHAnsi" w:hAnsiTheme="minorHAnsi"/>
          <w:lang w:val="en-GB"/>
        </w:rPr>
        <w:t xml:space="preserve">”. </w:t>
      </w:r>
      <w:r w:rsidR="002A7B9A">
        <w:rPr>
          <w:rFonts w:asciiTheme="minorHAnsi" w:hAnsiTheme="minorHAnsi"/>
          <w:lang w:val="en-GB"/>
        </w:rPr>
        <w:t>In the light of this, whilst we have provided a brief overview of BEDCO we cannot in any way confirm that the figures presented should be relied upon.</w:t>
      </w:r>
    </w:p>
    <w:p w14:paraId="38D82E87" w14:textId="06E78E04" w:rsidR="00E23BDF" w:rsidRPr="00D25BE7" w:rsidRDefault="00A4463D" w:rsidP="00E23BDF">
      <w:pPr>
        <w:pStyle w:val="ListParagraph"/>
        <w:ind w:left="426" w:hanging="426"/>
        <w:rPr>
          <w:rFonts w:asciiTheme="minorHAnsi" w:hAnsiTheme="minorHAnsi"/>
          <w:color w:val="000000" w:themeColor="text1"/>
          <w:szCs w:val="22"/>
          <w:lang w:val="en-GB"/>
        </w:rPr>
      </w:pPr>
      <w:r w:rsidRPr="00D25BE7">
        <w:rPr>
          <w:rFonts w:asciiTheme="minorHAnsi" w:hAnsiTheme="minorHAnsi" w:cs="Arial"/>
          <w:szCs w:val="22"/>
          <w:lang w:val="en-GB"/>
        </w:rPr>
        <w:t xml:space="preserve">Indications are that </w:t>
      </w:r>
      <w:r w:rsidR="00E23BDF" w:rsidRPr="00D25BE7">
        <w:rPr>
          <w:rFonts w:asciiTheme="minorHAnsi" w:hAnsiTheme="minorHAnsi" w:cs="Arial"/>
          <w:szCs w:val="22"/>
          <w:lang w:val="en-GB"/>
        </w:rPr>
        <w:t xml:space="preserve">in practice BEDCO operates less as a commercial entity and more as a provider of services paid for by Government.  </w:t>
      </w:r>
      <w:r w:rsidR="00E36B9F">
        <w:rPr>
          <w:rFonts w:asciiTheme="minorHAnsi" w:hAnsiTheme="minorHAnsi" w:cs="Arial"/>
          <w:szCs w:val="22"/>
          <w:lang w:val="en-GB"/>
        </w:rPr>
        <w:t xml:space="preserve">According to the accounts (but see </w:t>
      </w:r>
      <w:r w:rsidR="009B28F5">
        <w:rPr>
          <w:rFonts w:asciiTheme="minorHAnsi" w:hAnsiTheme="minorHAnsi" w:cs="Arial"/>
          <w:szCs w:val="22"/>
          <w:lang w:val="en-GB"/>
        </w:rPr>
        <w:t xml:space="preserve">previous </w:t>
      </w:r>
      <w:r w:rsidR="00E36B9F">
        <w:rPr>
          <w:rFonts w:asciiTheme="minorHAnsi" w:hAnsiTheme="minorHAnsi" w:cs="Arial"/>
          <w:szCs w:val="22"/>
          <w:lang w:val="en-GB"/>
        </w:rPr>
        <w:t xml:space="preserve">paragraph) </w:t>
      </w:r>
      <w:r w:rsidR="00E61850">
        <w:rPr>
          <w:rFonts w:asciiTheme="minorHAnsi" w:hAnsiTheme="minorHAnsi" w:cs="Arial"/>
          <w:szCs w:val="22"/>
          <w:lang w:val="en-GB"/>
        </w:rPr>
        <w:t>BEDCO’s</w:t>
      </w:r>
      <w:r w:rsidR="00E61850" w:rsidRPr="00D25BE7">
        <w:rPr>
          <w:rFonts w:asciiTheme="minorHAnsi" w:hAnsiTheme="minorHAnsi" w:cs="Arial"/>
          <w:szCs w:val="22"/>
          <w:lang w:val="en-GB"/>
        </w:rPr>
        <w:t xml:space="preserve"> </w:t>
      </w:r>
      <w:r w:rsidR="00E23BDF" w:rsidRPr="00D25BE7">
        <w:rPr>
          <w:rFonts w:asciiTheme="minorHAnsi" w:hAnsiTheme="minorHAnsi" w:cs="Arial"/>
          <w:szCs w:val="22"/>
          <w:lang w:val="en-GB"/>
        </w:rPr>
        <w:t>main source of income by far is capital grants, which grew from M 16.7 m in 2008/09 to M 20.7 m in</w:t>
      </w:r>
      <w:r w:rsidR="008C4476" w:rsidRPr="00D25BE7">
        <w:rPr>
          <w:rFonts w:asciiTheme="minorHAnsi" w:hAnsiTheme="minorHAnsi" w:cs="Arial"/>
          <w:szCs w:val="22"/>
          <w:lang w:val="en-GB"/>
        </w:rPr>
        <w:t xml:space="preserve"> 2</w:t>
      </w:r>
      <w:r w:rsidR="00E23BDF" w:rsidRPr="00D25BE7">
        <w:rPr>
          <w:rFonts w:asciiTheme="minorHAnsi" w:hAnsiTheme="minorHAnsi" w:cs="Arial"/>
          <w:szCs w:val="22"/>
          <w:lang w:val="en-GB"/>
        </w:rPr>
        <w:t xml:space="preserve">010/11 before declining steadily to M </w:t>
      </w:r>
      <w:r w:rsidR="00E36B9F">
        <w:rPr>
          <w:rFonts w:asciiTheme="minorHAnsi" w:hAnsiTheme="minorHAnsi" w:cs="Arial"/>
          <w:szCs w:val="22"/>
          <w:lang w:val="en-GB"/>
        </w:rPr>
        <w:t>17.45</w:t>
      </w:r>
      <w:r w:rsidR="00E23BDF" w:rsidRPr="00D25BE7">
        <w:rPr>
          <w:rFonts w:asciiTheme="minorHAnsi" w:hAnsiTheme="minorHAnsi" w:cs="Arial"/>
          <w:szCs w:val="22"/>
          <w:lang w:val="en-GB"/>
        </w:rPr>
        <w:t xml:space="preserve"> m in 201</w:t>
      </w:r>
      <w:r w:rsidR="00E36B9F">
        <w:rPr>
          <w:rFonts w:asciiTheme="minorHAnsi" w:hAnsiTheme="minorHAnsi" w:cs="Arial"/>
          <w:szCs w:val="22"/>
          <w:lang w:val="en-GB"/>
        </w:rPr>
        <w:t>5</w:t>
      </w:r>
      <w:r w:rsidR="00E23BDF" w:rsidRPr="00D25BE7">
        <w:rPr>
          <w:rFonts w:asciiTheme="minorHAnsi" w:hAnsiTheme="minorHAnsi" w:cs="Arial"/>
          <w:szCs w:val="22"/>
          <w:lang w:val="en-GB"/>
        </w:rPr>
        <w:t>/1</w:t>
      </w:r>
      <w:r w:rsidR="00E36B9F">
        <w:rPr>
          <w:rFonts w:asciiTheme="minorHAnsi" w:hAnsiTheme="minorHAnsi" w:cs="Arial"/>
          <w:szCs w:val="22"/>
          <w:lang w:val="en-GB"/>
        </w:rPr>
        <w:t>6</w:t>
      </w:r>
      <w:r w:rsidR="00E23BDF" w:rsidRPr="00D25BE7">
        <w:rPr>
          <w:rFonts w:asciiTheme="minorHAnsi" w:hAnsiTheme="minorHAnsi" w:cs="Arial"/>
          <w:szCs w:val="22"/>
          <w:lang w:val="en-GB"/>
        </w:rPr>
        <w:t>. In contrast revenues generated from payment for services were a very small percentage of total income growing from the low level of M 1.3 m in 2008/09 to only M2.</w:t>
      </w:r>
      <w:r w:rsidR="00E36B9F">
        <w:rPr>
          <w:rFonts w:asciiTheme="minorHAnsi" w:hAnsiTheme="minorHAnsi" w:cs="Arial"/>
          <w:szCs w:val="22"/>
          <w:lang w:val="en-GB"/>
        </w:rPr>
        <w:t>5</w:t>
      </w:r>
      <w:r w:rsidR="00E23BDF" w:rsidRPr="00D25BE7">
        <w:rPr>
          <w:rFonts w:asciiTheme="minorHAnsi" w:hAnsiTheme="minorHAnsi" w:cs="Arial"/>
          <w:szCs w:val="22"/>
          <w:lang w:val="en-GB"/>
        </w:rPr>
        <w:t xml:space="preserve"> m in 201</w:t>
      </w:r>
      <w:r w:rsidR="00E36B9F">
        <w:rPr>
          <w:rFonts w:asciiTheme="minorHAnsi" w:hAnsiTheme="minorHAnsi" w:cs="Arial"/>
          <w:szCs w:val="22"/>
          <w:lang w:val="en-GB"/>
        </w:rPr>
        <w:t>5</w:t>
      </w:r>
      <w:r w:rsidR="00E23BDF" w:rsidRPr="00D25BE7">
        <w:rPr>
          <w:rFonts w:asciiTheme="minorHAnsi" w:hAnsiTheme="minorHAnsi" w:cs="Arial"/>
          <w:szCs w:val="22"/>
          <w:lang w:val="en-GB"/>
        </w:rPr>
        <w:t>/1</w:t>
      </w:r>
      <w:r w:rsidR="00E36B9F">
        <w:rPr>
          <w:rFonts w:asciiTheme="minorHAnsi" w:hAnsiTheme="minorHAnsi" w:cs="Arial"/>
          <w:szCs w:val="22"/>
          <w:lang w:val="en-GB"/>
        </w:rPr>
        <w:t>6</w:t>
      </w:r>
      <w:r w:rsidR="00E23BDF" w:rsidRPr="00D25BE7">
        <w:rPr>
          <w:rFonts w:asciiTheme="minorHAnsi" w:hAnsiTheme="minorHAnsi" w:cs="Arial"/>
          <w:szCs w:val="22"/>
          <w:lang w:val="en-GB"/>
        </w:rPr>
        <w:t xml:space="preserve">. While generating profits in the </w:t>
      </w:r>
      <w:r w:rsidR="008C4476" w:rsidRPr="00D25BE7">
        <w:rPr>
          <w:rFonts w:asciiTheme="minorHAnsi" w:hAnsiTheme="minorHAnsi" w:cs="Arial"/>
          <w:szCs w:val="22"/>
          <w:lang w:val="en-GB"/>
        </w:rPr>
        <w:t>early</w:t>
      </w:r>
      <w:r w:rsidR="00E23BDF" w:rsidRPr="00D25BE7">
        <w:rPr>
          <w:rFonts w:asciiTheme="minorHAnsi" w:hAnsiTheme="minorHAnsi" w:cs="Arial"/>
          <w:szCs w:val="22"/>
          <w:lang w:val="en-GB"/>
        </w:rPr>
        <w:t xml:space="preserve"> years of the period, losses have followed in each year since then, peaking at M 4.4 m lost in 2012/13. The company's net worth in recent years in contrast has stood at more than M 9</w:t>
      </w:r>
      <w:r w:rsidR="00E36B9F">
        <w:rPr>
          <w:rFonts w:asciiTheme="minorHAnsi" w:hAnsiTheme="minorHAnsi" w:cs="Arial"/>
          <w:szCs w:val="22"/>
          <w:lang w:val="en-GB"/>
        </w:rPr>
        <w:t>5</w:t>
      </w:r>
      <w:r w:rsidR="00E23BDF" w:rsidRPr="00D25BE7">
        <w:rPr>
          <w:rFonts w:asciiTheme="minorHAnsi" w:hAnsiTheme="minorHAnsi" w:cs="Arial"/>
          <w:szCs w:val="22"/>
          <w:lang w:val="en-GB"/>
        </w:rPr>
        <w:t xml:space="preserve"> m, with assets consisting mainly of buildings and land.</w:t>
      </w:r>
    </w:p>
    <w:p w14:paraId="45DAFF9C" w14:textId="650C8584" w:rsidR="00BF16A3" w:rsidRPr="00D25BE7" w:rsidRDefault="00122D61" w:rsidP="00BF16A3">
      <w:pPr>
        <w:pStyle w:val="ListParagraph"/>
        <w:ind w:left="426" w:hanging="426"/>
        <w:rPr>
          <w:rFonts w:asciiTheme="minorHAnsi" w:hAnsiTheme="minorHAnsi"/>
          <w:color w:val="000000" w:themeColor="text1"/>
          <w:lang w:val="en-GB"/>
        </w:rPr>
      </w:pPr>
      <w:r>
        <w:rPr>
          <w:rFonts w:asciiTheme="minorHAnsi" w:hAnsiTheme="minorHAnsi"/>
          <w:color w:val="000000" w:themeColor="text1"/>
          <w:lang w:val="en-GB"/>
        </w:rPr>
        <w:t>There is no r</w:t>
      </w:r>
      <w:r w:rsidR="00BF16A3" w:rsidRPr="00D25BE7">
        <w:rPr>
          <w:rFonts w:asciiTheme="minorHAnsi" w:hAnsiTheme="minorHAnsi"/>
          <w:color w:val="000000" w:themeColor="text1"/>
          <w:lang w:val="en-GB"/>
        </w:rPr>
        <w:t>elevant performance data for FY’</w:t>
      </w:r>
      <w:r>
        <w:rPr>
          <w:rFonts w:asciiTheme="minorHAnsi" w:hAnsiTheme="minorHAnsi"/>
          <w:color w:val="000000" w:themeColor="text1"/>
          <w:lang w:val="en-GB"/>
        </w:rPr>
        <w:t>201</w:t>
      </w:r>
      <w:r w:rsidR="00777979">
        <w:rPr>
          <w:rFonts w:asciiTheme="minorHAnsi" w:hAnsiTheme="minorHAnsi"/>
          <w:color w:val="000000" w:themeColor="text1"/>
          <w:lang w:val="en-GB"/>
        </w:rPr>
        <w:t xml:space="preserve">7 </w:t>
      </w:r>
      <w:r>
        <w:rPr>
          <w:rFonts w:asciiTheme="minorHAnsi" w:hAnsiTheme="minorHAnsi"/>
          <w:color w:val="000000" w:themeColor="text1"/>
          <w:lang w:val="en-GB"/>
        </w:rPr>
        <w:t>to 2018 available</w:t>
      </w:r>
      <w:r w:rsidR="00BF16A3" w:rsidRPr="00D25BE7">
        <w:rPr>
          <w:rFonts w:asciiTheme="minorHAnsi" w:hAnsiTheme="minorHAnsi"/>
          <w:color w:val="000000" w:themeColor="text1"/>
          <w:lang w:val="en-GB"/>
        </w:rPr>
        <w:t>:</w:t>
      </w:r>
    </w:p>
    <w:p w14:paraId="3C6A4121" w14:textId="1044F76B" w:rsidR="00BF16A3" w:rsidRPr="0023147B" w:rsidRDefault="00BF16A3" w:rsidP="00BF16A3">
      <w:pPr>
        <w:ind w:firstLine="426"/>
        <w:rPr>
          <w:rFonts w:asciiTheme="minorHAnsi" w:hAnsiTheme="minorHAnsi"/>
          <w:b/>
          <w:sz w:val="20"/>
          <w:lang w:val="en-GB"/>
        </w:rPr>
      </w:pPr>
      <w:r w:rsidRPr="00243C32">
        <w:rPr>
          <w:rFonts w:asciiTheme="minorHAnsi" w:hAnsiTheme="minorHAnsi"/>
          <w:b/>
          <w:sz w:val="20"/>
          <w:lang w:val="en-GB"/>
        </w:rPr>
        <w:t xml:space="preserve">Table </w:t>
      </w:r>
      <w:r w:rsidR="002B6605" w:rsidRPr="00243C32">
        <w:rPr>
          <w:rFonts w:asciiTheme="minorHAnsi" w:hAnsiTheme="minorHAnsi"/>
          <w:b/>
          <w:sz w:val="20"/>
          <w:lang w:val="en-GB"/>
        </w:rPr>
        <w:t>1</w:t>
      </w:r>
      <w:r w:rsidR="00CB635C" w:rsidRPr="00243C32">
        <w:rPr>
          <w:rFonts w:asciiTheme="minorHAnsi" w:hAnsiTheme="minorHAnsi"/>
          <w:b/>
          <w:sz w:val="20"/>
          <w:lang w:val="en-GB"/>
        </w:rPr>
        <w:t>4</w:t>
      </w:r>
      <w:r w:rsidRPr="00243C32">
        <w:rPr>
          <w:rFonts w:asciiTheme="minorHAnsi" w:hAnsiTheme="minorHAnsi"/>
          <w:b/>
          <w:sz w:val="20"/>
          <w:lang w:val="en-GB"/>
        </w:rPr>
        <w:t>: Performance Highlights – BEDCO</w:t>
      </w:r>
    </w:p>
    <w:p w14:paraId="6B3741E9" w14:textId="77777777" w:rsidR="00122D61" w:rsidRPr="00D25BE7" w:rsidRDefault="00122D61" w:rsidP="00BF16A3">
      <w:pPr>
        <w:ind w:firstLine="426"/>
        <w:rPr>
          <w:rFonts w:asciiTheme="minorHAnsi" w:hAnsiTheme="minorHAnsi"/>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315"/>
        <w:gridCol w:w="1315"/>
        <w:gridCol w:w="1315"/>
        <w:gridCol w:w="1315"/>
        <w:gridCol w:w="1316"/>
      </w:tblGrid>
      <w:tr w:rsidR="00777034" w:rsidRPr="0040299B" w14:paraId="72FAC0AD" w14:textId="77777777" w:rsidTr="007A0F4A">
        <w:trPr>
          <w:trHeight w:val="360"/>
          <w:tblHeader/>
          <w:jc w:val="center"/>
        </w:trPr>
        <w:tc>
          <w:tcPr>
            <w:tcW w:w="2126" w:type="dxa"/>
            <w:shd w:val="clear" w:color="auto" w:fill="D9D9D9" w:themeFill="background1" w:themeFillShade="D9"/>
            <w:noWrap/>
            <w:vAlign w:val="center"/>
            <w:hideMark/>
          </w:tcPr>
          <w:p w14:paraId="5351507A" w14:textId="77777777" w:rsidR="00777034" w:rsidRPr="004140E8" w:rsidRDefault="00777034" w:rsidP="009441DB">
            <w:pPr>
              <w:ind w:firstLine="42"/>
              <w:rPr>
                <w:rFonts w:asciiTheme="minorHAnsi" w:hAnsiTheme="minorHAnsi"/>
                <w:sz w:val="18"/>
                <w:szCs w:val="18"/>
                <w:lang w:eastAsia="en-GB"/>
              </w:rPr>
            </w:pPr>
            <w:r w:rsidRPr="004140E8">
              <w:rPr>
                <w:rFonts w:asciiTheme="minorHAnsi" w:hAnsiTheme="minorHAnsi"/>
                <w:sz w:val="18"/>
                <w:szCs w:val="18"/>
                <w:lang w:eastAsia="en-GB"/>
              </w:rPr>
              <w:t>Performance Highlights (M '000)</w:t>
            </w:r>
          </w:p>
        </w:tc>
        <w:tc>
          <w:tcPr>
            <w:tcW w:w="1315" w:type="dxa"/>
            <w:shd w:val="clear" w:color="auto" w:fill="D9D9D9" w:themeFill="background1" w:themeFillShade="D9"/>
            <w:vAlign w:val="center"/>
          </w:tcPr>
          <w:p w14:paraId="718928B7" w14:textId="1C00B79C" w:rsidR="00777034" w:rsidRPr="004140E8" w:rsidRDefault="00777034" w:rsidP="009441DB">
            <w:pPr>
              <w:jc w:val="center"/>
              <w:rPr>
                <w:rFonts w:asciiTheme="minorHAnsi" w:hAnsiTheme="minorHAnsi" w:cstheme="minorHAnsi"/>
                <w:b/>
                <w:bCs/>
                <w:color w:val="000000"/>
                <w:sz w:val="18"/>
                <w:szCs w:val="18"/>
                <w:lang w:eastAsia="en-GB"/>
              </w:rPr>
            </w:pPr>
            <w:r w:rsidRPr="004140E8">
              <w:rPr>
                <w:rFonts w:asciiTheme="minorHAnsi" w:hAnsiTheme="minorHAnsi" w:cstheme="minorHAnsi"/>
                <w:b/>
                <w:bCs/>
                <w:sz w:val="18"/>
                <w:szCs w:val="18"/>
                <w:lang w:eastAsia="en-GB"/>
              </w:rPr>
              <w:t>2014/15</w:t>
            </w:r>
          </w:p>
        </w:tc>
        <w:tc>
          <w:tcPr>
            <w:tcW w:w="1315" w:type="dxa"/>
            <w:shd w:val="clear" w:color="auto" w:fill="D9D9D9" w:themeFill="background1" w:themeFillShade="D9"/>
            <w:vAlign w:val="center"/>
          </w:tcPr>
          <w:p w14:paraId="35EBF0DD" w14:textId="2413AA5E" w:rsidR="00777034" w:rsidRPr="004140E8" w:rsidRDefault="00777034" w:rsidP="009441DB">
            <w:pPr>
              <w:jc w:val="center"/>
              <w:rPr>
                <w:rFonts w:asciiTheme="minorHAnsi" w:hAnsiTheme="minorHAnsi" w:cstheme="minorHAnsi"/>
                <w:b/>
                <w:bCs/>
                <w:color w:val="000000"/>
                <w:sz w:val="18"/>
                <w:szCs w:val="18"/>
                <w:lang w:eastAsia="en-GB"/>
              </w:rPr>
            </w:pPr>
            <w:r w:rsidRPr="004140E8">
              <w:rPr>
                <w:rFonts w:asciiTheme="minorHAnsi" w:hAnsiTheme="minorHAnsi" w:cstheme="minorHAnsi"/>
                <w:b/>
                <w:bCs/>
                <w:sz w:val="18"/>
                <w:szCs w:val="18"/>
                <w:lang w:eastAsia="en-GB"/>
              </w:rPr>
              <w:t>2015/16</w:t>
            </w:r>
          </w:p>
        </w:tc>
        <w:tc>
          <w:tcPr>
            <w:tcW w:w="1315" w:type="dxa"/>
            <w:shd w:val="clear" w:color="auto" w:fill="D9D9D9" w:themeFill="background1" w:themeFillShade="D9"/>
            <w:vAlign w:val="center"/>
            <w:hideMark/>
          </w:tcPr>
          <w:p w14:paraId="378415D8" w14:textId="710D6A71" w:rsidR="00777034" w:rsidRPr="004140E8" w:rsidRDefault="00777034" w:rsidP="009441DB">
            <w:pPr>
              <w:jc w:val="center"/>
              <w:rPr>
                <w:rFonts w:asciiTheme="minorHAnsi" w:hAnsiTheme="minorHAnsi" w:cstheme="minorHAnsi"/>
                <w:b/>
                <w:bCs/>
                <w:sz w:val="18"/>
                <w:szCs w:val="18"/>
                <w:lang w:eastAsia="en-GB"/>
              </w:rPr>
            </w:pPr>
            <w:r w:rsidRPr="004140E8">
              <w:rPr>
                <w:rFonts w:asciiTheme="minorHAnsi" w:hAnsiTheme="minorHAnsi" w:cstheme="minorHAnsi"/>
                <w:b/>
                <w:bCs/>
                <w:sz w:val="18"/>
                <w:szCs w:val="18"/>
                <w:lang w:eastAsia="en-GB"/>
              </w:rPr>
              <w:t>2016/17</w:t>
            </w:r>
          </w:p>
        </w:tc>
        <w:tc>
          <w:tcPr>
            <w:tcW w:w="1315" w:type="dxa"/>
            <w:shd w:val="clear" w:color="auto" w:fill="D9D9D9" w:themeFill="background1" w:themeFillShade="D9"/>
            <w:vAlign w:val="center"/>
          </w:tcPr>
          <w:p w14:paraId="16470AE8" w14:textId="60DD4A4D" w:rsidR="00777034" w:rsidRPr="004140E8" w:rsidRDefault="00777034" w:rsidP="009441DB">
            <w:pPr>
              <w:jc w:val="center"/>
              <w:rPr>
                <w:rFonts w:asciiTheme="minorHAnsi" w:hAnsiTheme="minorHAnsi" w:cstheme="minorHAnsi"/>
                <w:b/>
                <w:bCs/>
                <w:color w:val="000000"/>
                <w:sz w:val="18"/>
                <w:szCs w:val="18"/>
                <w:lang w:eastAsia="en-GB"/>
              </w:rPr>
            </w:pPr>
            <w:r w:rsidRPr="004140E8">
              <w:rPr>
                <w:rFonts w:asciiTheme="minorHAnsi" w:hAnsiTheme="minorHAnsi" w:cstheme="minorHAnsi"/>
                <w:b/>
                <w:bCs/>
                <w:sz w:val="18"/>
                <w:szCs w:val="18"/>
                <w:lang w:eastAsia="en-GB"/>
              </w:rPr>
              <w:t>2017/18</w:t>
            </w:r>
          </w:p>
        </w:tc>
        <w:tc>
          <w:tcPr>
            <w:tcW w:w="1316" w:type="dxa"/>
            <w:shd w:val="clear" w:color="auto" w:fill="D9D9D9" w:themeFill="background1" w:themeFillShade="D9"/>
            <w:noWrap/>
            <w:vAlign w:val="center"/>
            <w:hideMark/>
          </w:tcPr>
          <w:p w14:paraId="6146C4DA" w14:textId="6D546239" w:rsidR="00777034" w:rsidRPr="004140E8" w:rsidRDefault="00777034" w:rsidP="009441DB">
            <w:pPr>
              <w:jc w:val="center"/>
              <w:rPr>
                <w:rFonts w:asciiTheme="minorHAnsi" w:hAnsiTheme="minorHAnsi" w:cstheme="minorHAnsi"/>
                <w:b/>
                <w:bCs/>
                <w:color w:val="000000"/>
                <w:sz w:val="18"/>
                <w:szCs w:val="18"/>
                <w:lang w:eastAsia="en-GB"/>
              </w:rPr>
            </w:pPr>
            <w:r w:rsidRPr="004140E8">
              <w:rPr>
                <w:rFonts w:asciiTheme="minorHAnsi" w:hAnsiTheme="minorHAnsi" w:cstheme="minorHAnsi"/>
                <w:b/>
                <w:bCs/>
                <w:color w:val="000000"/>
                <w:sz w:val="18"/>
                <w:szCs w:val="18"/>
                <w:lang w:eastAsia="en-GB"/>
              </w:rPr>
              <w:t>4-yr Average</w:t>
            </w:r>
          </w:p>
        </w:tc>
      </w:tr>
      <w:tr w:rsidR="00777034" w:rsidRPr="0040299B" w14:paraId="7497F9E1" w14:textId="77777777" w:rsidTr="007A0F4A">
        <w:trPr>
          <w:trHeight w:val="360"/>
          <w:jc w:val="center"/>
        </w:trPr>
        <w:tc>
          <w:tcPr>
            <w:tcW w:w="2126" w:type="dxa"/>
            <w:shd w:val="clear" w:color="000000" w:fill="FFFFFF"/>
            <w:noWrap/>
            <w:vAlign w:val="center"/>
            <w:hideMark/>
          </w:tcPr>
          <w:p w14:paraId="18BE92C1"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Total Revenue</w:t>
            </w:r>
          </w:p>
        </w:tc>
        <w:tc>
          <w:tcPr>
            <w:tcW w:w="1315" w:type="dxa"/>
            <w:vAlign w:val="center"/>
          </w:tcPr>
          <w:p w14:paraId="6210AAC9" w14:textId="5E31F8EC" w:rsidR="00777034" w:rsidRPr="004140E8" w:rsidRDefault="001161BD" w:rsidP="009441DB">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28,496</w:t>
            </w:r>
            <w:r w:rsidR="00777034" w:rsidRPr="004140E8">
              <w:rPr>
                <w:rFonts w:asciiTheme="minorHAnsi" w:hAnsiTheme="minorHAnsi" w:cstheme="minorHAnsi"/>
                <w:color w:val="000000" w:themeColor="text1"/>
                <w:sz w:val="18"/>
                <w:szCs w:val="18"/>
                <w:lang w:eastAsia="en-GB"/>
              </w:rPr>
              <w:t xml:space="preserve"> </w:t>
            </w:r>
          </w:p>
        </w:tc>
        <w:tc>
          <w:tcPr>
            <w:tcW w:w="1315" w:type="dxa"/>
            <w:vAlign w:val="center"/>
          </w:tcPr>
          <w:p w14:paraId="3474D576" w14:textId="32F7CD23" w:rsidR="00777034" w:rsidRPr="004140E8" w:rsidRDefault="001161BD" w:rsidP="009441DB">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26,865</w:t>
            </w:r>
            <w:r w:rsidR="00777034" w:rsidRPr="004140E8">
              <w:rPr>
                <w:rFonts w:asciiTheme="minorHAnsi" w:hAnsiTheme="minorHAnsi" w:cstheme="minorHAnsi"/>
                <w:color w:val="000000" w:themeColor="text1"/>
                <w:sz w:val="18"/>
                <w:szCs w:val="18"/>
                <w:lang w:eastAsia="en-GB"/>
              </w:rPr>
              <w:t xml:space="preserve"> </w:t>
            </w:r>
          </w:p>
        </w:tc>
        <w:tc>
          <w:tcPr>
            <w:tcW w:w="1315" w:type="dxa"/>
            <w:shd w:val="clear" w:color="auto" w:fill="auto"/>
            <w:noWrap/>
            <w:vAlign w:val="center"/>
            <w:hideMark/>
          </w:tcPr>
          <w:p w14:paraId="012DCDB0" w14:textId="77777777"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c>
          <w:tcPr>
            <w:tcW w:w="1315" w:type="dxa"/>
          </w:tcPr>
          <w:p w14:paraId="6EDBC665" w14:textId="77777777" w:rsidR="00777034" w:rsidRPr="004140E8" w:rsidRDefault="00777034" w:rsidP="009441DB">
            <w:pPr>
              <w:keepNext/>
              <w:keepLines/>
              <w:spacing w:before="120" w:line="276" w:lineRule="auto"/>
              <w:jc w:val="right"/>
              <w:rPr>
                <w:rFonts w:asciiTheme="minorHAnsi" w:hAnsiTheme="minorHAnsi" w:cstheme="minorHAnsi"/>
                <w:color w:val="000000" w:themeColor="text1"/>
                <w:sz w:val="18"/>
                <w:szCs w:val="18"/>
                <w:lang w:eastAsia="en-GB"/>
              </w:rPr>
            </w:pPr>
          </w:p>
        </w:tc>
        <w:tc>
          <w:tcPr>
            <w:tcW w:w="1316" w:type="dxa"/>
            <w:shd w:val="clear" w:color="auto" w:fill="auto"/>
            <w:noWrap/>
            <w:vAlign w:val="center"/>
            <w:hideMark/>
          </w:tcPr>
          <w:p w14:paraId="553886CB" w14:textId="3E7A249F"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r>
      <w:tr w:rsidR="00777034" w:rsidRPr="0040299B" w14:paraId="249C66B5" w14:textId="77777777" w:rsidTr="007A0F4A">
        <w:trPr>
          <w:trHeight w:val="360"/>
          <w:jc w:val="center"/>
        </w:trPr>
        <w:tc>
          <w:tcPr>
            <w:tcW w:w="2126" w:type="dxa"/>
            <w:shd w:val="clear" w:color="000000" w:fill="FFFFFF"/>
            <w:noWrap/>
            <w:vAlign w:val="center"/>
            <w:hideMark/>
          </w:tcPr>
          <w:p w14:paraId="055A13C5"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Net Operating Profit After Tax</w:t>
            </w:r>
          </w:p>
        </w:tc>
        <w:tc>
          <w:tcPr>
            <w:tcW w:w="1315" w:type="dxa"/>
            <w:vAlign w:val="center"/>
          </w:tcPr>
          <w:p w14:paraId="6BB516C0" w14:textId="54B7C887" w:rsidR="00777034" w:rsidRPr="004140E8" w:rsidRDefault="008406FA" w:rsidP="009441DB">
            <w:pPr>
              <w:jc w:val="right"/>
              <w:rPr>
                <w:rFonts w:asciiTheme="minorHAnsi" w:hAnsiTheme="minorHAnsi" w:cstheme="minorHAnsi"/>
                <w:color w:val="FF0000"/>
                <w:sz w:val="18"/>
                <w:szCs w:val="18"/>
                <w:lang w:eastAsia="en-GB"/>
              </w:rPr>
            </w:pPr>
            <w:r>
              <w:rPr>
                <w:rFonts w:asciiTheme="minorHAnsi" w:hAnsiTheme="minorHAnsi" w:cstheme="minorHAnsi"/>
                <w:color w:val="000000" w:themeColor="text1"/>
                <w:sz w:val="18"/>
                <w:szCs w:val="18"/>
                <w:lang w:eastAsia="en-GB"/>
              </w:rPr>
              <w:t>(279)</w:t>
            </w:r>
            <w:r w:rsidR="00777034" w:rsidRPr="004140E8">
              <w:rPr>
                <w:rFonts w:asciiTheme="minorHAnsi" w:hAnsiTheme="minorHAnsi" w:cstheme="minorHAnsi"/>
                <w:color w:val="000000" w:themeColor="text1"/>
                <w:sz w:val="18"/>
                <w:szCs w:val="18"/>
                <w:lang w:eastAsia="en-GB"/>
              </w:rPr>
              <w:t xml:space="preserve"> </w:t>
            </w:r>
          </w:p>
        </w:tc>
        <w:tc>
          <w:tcPr>
            <w:tcW w:w="1315" w:type="dxa"/>
            <w:vAlign w:val="center"/>
          </w:tcPr>
          <w:p w14:paraId="1D36A7B5" w14:textId="2994B996" w:rsidR="00777034" w:rsidRPr="004140E8" w:rsidRDefault="008406FA" w:rsidP="009441DB">
            <w:pPr>
              <w:jc w:val="right"/>
              <w:rPr>
                <w:rFonts w:asciiTheme="minorHAnsi" w:hAnsiTheme="minorHAnsi" w:cstheme="minorHAnsi"/>
                <w:color w:val="FF0000"/>
                <w:sz w:val="18"/>
                <w:szCs w:val="18"/>
                <w:lang w:eastAsia="en-GB"/>
              </w:rPr>
            </w:pPr>
            <w:r>
              <w:rPr>
                <w:rFonts w:asciiTheme="minorHAnsi" w:hAnsiTheme="minorHAnsi" w:cstheme="minorHAnsi"/>
                <w:color w:val="000000" w:themeColor="text1"/>
                <w:sz w:val="18"/>
                <w:szCs w:val="18"/>
                <w:lang w:eastAsia="en-GB"/>
              </w:rPr>
              <w:t>(1,507)</w:t>
            </w:r>
            <w:r w:rsidR="00777034" w:rsidRPr="004140E8">
              <w:rPr>
                <w:rFonts w:asciiTheme="minorHAnsi" w:hAnsiTheme="minorHAnsi" w:cstheme="minorHAnsi"/>
                <w:color w:val="000000" w:themeColor="text1"/>
                <w:sz w:val="18"/>
                <w:szCs w:val="18"/>
                <w:lang w:eastAsia="en-GB"/>
              </w:rPr>
              <w:t xml:space="preserve"> </w:t>
            </w:r>
          </w:p>
        </w:tc>
        <w:tc>
          <w:tcPr>
            <w:tcW w:w="1315" w:type="dxa"/>
            <w:shd w:val="clear" w:color="auto" w:fill="auto"/>
            <w:noWrap/>
            <w:vAlign w:val="center"/>
            <w:hideMark/>
          </w:tcPr>
          <w:p w14:paraId="54CC8A38" w14:textId="77777777"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c>
          <w:tcPr>
            <w:tcW w:w="1315" w:type="dxa"/>
          </w:tcPr>
          <w:p w14:paraId="23CEB9F1" w14:textId="77777777" w:rsidR="00777034" w:rsidRPr="004140E8" w:rsidRDefault="00777034" w:rsidP="009441DB">
            <w:pPr>
              <w:keepNext/>
              <w:keepLines/>
              <w:spacing w:before="120" w:line="276" w:lineRule="auto"/>
              <w:jc w:val="right"/>
              <w:rPr>
                <w:rFonts w:asciiTheme="minorHAnsi" w:hAnsiTheme="minorHAnsi" w:cstheme="minorHAnsi"/>
                <w:color w:val="000000" w:themeColor="text1"/>
                <w:sz w:val="18"/>
                <w:szCs w:val="18"/>
                <w:lang w:eastAsia="en-GB"/>
              </w:rPr>
            </w:pPr>
          </w:p>
        </w:tc>
        <w:tc>
          <w:tcPr>
            <w:tcW w:w="1316" w:type="dxa"/>
            <w:shd w:val="clear" w:color="auto" w:fill="auto"/>
            <w:noWrap/>
            <w:vAlign w:val="center"/>
            <w:hideMark/>
          </w:tcPr>
          <w:p w14:paraId="45DF5A6A" w14:textId="0056FA58"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r>
      <w:tr w:rsidR="00777034" w:rsidRPr="0040299B" w14:paraId="317070F2" w14:textId="77777777" w:rsidTr="007A0F4A">
        <w:trPr>
          <w:trHeight w:val="360"/>
          <w:jc w:val="center"/>
        </w:trPr>
        <w:tc>
          <w:tcPr>
            <w:tcW w:w="2126" w:type="dxa"/>
            <w:shd w:val="clear" w:color="000000" w:fill="FFFFFF"/>
            <w:noWrap/>
            <w:vAlign w:val="center"/>
            <w:hideMark/>
          </w:tcPr>
          <w:p w14:paraId="2613CB8D"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lastRenderedPageBreak/>
              <w:t>Total Assets</w:t>
            </w:r>
          </w:p>
        </w:tc>
        <w:tc>
          <w:tcPr>
            <w:tcW w:w="1315" w:type="dxa"/>
            <w:vAlign w:val="center"/>
          </w:tcPr>
          <w:p w14:paraId="6074B304" w14:textId="67B49501" w:rsidR="00777034" w:rsidRPr="004140E8" w:rsidRDefault="001161BD" w:rsidP="009441DB">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97,511</w:t>
            </w:r>
            <w:r w:rsidR="00777034" w:rsidRPr="004140E8">
              <w:rPr>
                <w:rFonts w:asciiTheme="minorHAnsi" w:hAnsiTheme="minorHAnsi" w:cstheme="minorHAnsi"/>
                <w:color w:val="000000" w:themeColor="text1"/>
                <w:sz w:val="18"/>
                <w:szCs w:val="18"/>
                <w:lang w:eastAsia="en-GB"/>
              </w:rPr>
              <w:t xml:space="preserve"> </w:t>
            </w:r>
          </w:p>
        </w:tc>
        <w:tc>
          <w:tcPr>
            <w:tcW w:w="1315" w:type="dxa"/>
            <w:vAlign w:val="center"/>
          </w:tcPr>
          <w:p w14:paraId="780495A3" w14:textId="474131EF" w:rsidR="00777034" w:rsidRPr="004140E8" w:rsidRDefault="001161BD" w:rsidP="009441DB">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106,759</w:t>
            </w:r>
            <w:r w:rsidR="00777034" w:rsidRPr="004140E8">
              <w:rPr>
                <w:rFonts w:asciiTheme="minorHAnsi" w:hAnsiTheme="minorHAnsi" w:cstheme="minorHAnsi"/>
                <w:color w:val="000000" w:themeColor="text1"/>
                <w:sz w:val="18"/>
                <w:szCs w:val="18"/>
                <w:lang w:eastAsia="en-GB"/>
              </w:rPr>
              <w:t xml:space="preserve"> </w:t>
            </w:r>
          </w:p>
        </w:tc>
        <w:tc>
          <w:tcPr>
            <w:tcW w:w="1315" w:type="dxa"/>
            <w:shd w:val="clear" w:color="auto" w:fill="auto"/>
            <w:noWrap/>
            <w:vAlign w:val="center"/>
          </w:tcPr>
          <w:p w14:paraId="62ED91B6" w14:textId="77777777"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c>
          <w:tcPr>
            <w:tcW w:w="1315" w:type="dxa"/>
          </w:tcPr>
          <w:p w14:paraId="60D933EA" w14:textId="77777777" w:rsidR="00777034" w:rsidRPr="004140E8" w:rsidRDefault="00777034" w:rsidP="009441DB">
            <w:pPr>
              <w:keepNext/>
              <w:keepLines/>
              <w:spacing w:before="120" w:line="276" w:lineRule="auto"/>
              <w:jc w:val="right"/>
              <w:rPr>
                <w:rFonts w:asciiTheme="minorHAnsi" w:hAnsiTheme="minorHAnsi" w:cstheme="minorHAnsi"/>
                <w:color w:val="000000" w:themeColor="text1"/>
                <w:sz w:val="18"/>
                <w:szCs w:val="18"/>
                <w:lang w:eastAsia="en-GB"/>
              </w:rPr>
            </w:pPr>
          </w:p>
        </w:tc>
        <w:tc>
          <w:tcPr>
            <w:tcW w:w="1316" w:type="dxa"/>
            <w:shd w:val="clear" w:color="auto" w:fill="auto"/>
            <w:noWrap/>
            <w:vAlign w:val="center"/>
            <w:hideMark/>
          </w:tcPr>
          <w:p w14:paraId="4EFBEAED" w14:textId="33F88A2A"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r>
      <w:tr w:rsidR="00777034" w:rsidRPr="0040299B" w14:paraId="08D5C9C0" w14:textId="77777777" w:rsidTr="007A0F4A">
        <w:trPr>
          <w:trHeight w:val="360"/>
          <w:jc w:val="center"/>
        </w:trPr>
        <w:tc>
          <w:tcPr>
            <w:tcW w:w="2126" w:type="dxa"/>
            <w:shd w:val="clear" w:color="000000" w:fill="FFFFFF"/>
            <w:noWrap/>
            <w:vAlign w:val="center"/>
            <w:hideMark/>
          </w:tcPr>
          <w:p w14:paraId="41A9CE81"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Total Liabilities</w:t>
            </w:r>
          </w:p>
        </w:tc>
        <w:tc>
          <w:tcPr>
            <w:tcW w:w="1315" w:type="dxa"/>
            <w:vAlign w:val="center"/>
          </w:tcPr>
          <w:p w14:paraId="2A63F57E" w14:textId="2B256A41" w:rsidR="00777034" w:rsidRPr="004140E8" w:rsidRDefault="001161BD" w:rsidP="009441DB">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8,677</w:t>
            </w:r>
            <w:r w:rsidR="00777034" w:rsidRPr="004140E8">
              <w:rPr>
                <w:rFonts w:asciiTheme="minorHAnsi" w:hAnsiTheme="minorHAnsi" w:cstheme="minorHAnsi"/>
                <w:color w:val="000000" w:themeColor="text1"/>
                <w:sz w:val="18"/>
                <w:szCs w:val="18"/>
                <w:lang w:eastAsia="en-GB"/>
              </w:rPr>
              <w:t xml:space="preserve"> </w:t>
            </w:r>
          </w:p>
        </w:tc>
        <w:tc>
          <w:tcPr>
            <w:tcW w:w="1315" w:type="dxa"/>
            <w:vAlign w:val="center"/>
          </w:tcPr>
          <w:p w14:paraId="57CDB951" w14:textId="5569FD94" w:rsidR="00777034" w:rsidRPr="004140E8" w:rsidRDefault="001161BD" w:rsidP="009441DB">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11,724</w:t>
            </w:r>
            <w:r w:rsidR="00777034" w:rsidRPr="004140E8">
              <w:rPr>
                <w:rFonts w:asciiTheme="minorHAnsi" w:hAnsiTheme="minorHAnsi" w:cstheme="minorHAnsi"/>
                <w:color w:val="000000" w:themeColor="text1"/>
                <w:sz w:val="18"/>
                <w:szCs w:val="18"/>
                <w:lang w:eastAsia="en-GB"/>
              </w:rPr>
              <w:t xml:space="preserve"> </w:t>
            </w:r>
          </w:p>
        </w:tc>
        <w:tc>
          <w:tcPr>
            <w:tcW w:w="1315" w:type="dxa"/>
            <w:shd w:val="clear" w:color="auto" w:fill="auto"/>
            <w:noWrap/>
            <w:vAlign w:val="center"/>
          </w:tcPr>
          <w:p w14:paraId="0A4B2A67" w14:textId="77777777"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c>
          <w:tcPr>
            <w:tcW w:w="1315" w:type="dxa"/>
          </w:tcPr>
          <w:p w14:paraId="0DE12C9B" w14:textId="77777777" w:rsidR="00777034" w:rsidRPr="004140E8" w:rsidRDefault="00777034" w:rsidP="009441DB">
            <w:pPr>
              <w:keepNext/>
              <w:keepLines/>
              <w:spacing w:before="120" w:line="276" w:lineRule="auto"/>
              <w:jc w:val="right"/>
              <w:rPr>
                <w:rFonts w:asciiTheme="minorHAnsi" w:hAnsiTheme="minorHAnsi" w:cstheme="minorHAnsi"/>
                <w:color w:val="000000" w:themeColor="text1"/>
                <w:sz w:val="18"/>
                <w:szCs w:val="18"/>
                <w:lang w:eastAsia="en-GB"/>
              </w:rPr>
            </w:pPr>
          </w:p>
        </w:tc>
        <w:tc>
          <w:tcPr>
            <w:tcW w:w="1316" w:type="dxa"/>
            <w:shd w:val="clear" w:color="auto" w:fill="auto"/>
            <w:noWrap/>
            <w:vAlign w:val="center"/>
            <w:hideMark/>
          </w:tcPr>
          <w:p w14:paraId="00A659F5" w14:textId="07A9885E"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r>
      <w:tr w:rsidR="00777034" w:rsidRPr="0040299B" w14:paraId="41DCD881" w14:textId="77777777" w:rsidTr="007A0F4A">
        <w:trPr>
          <w:trHeight w:val="360"/>
          <w:jc w:val="center"/>
        </w:trPr>
        <w:tc>
          <w:tcPr>
            <w:tcW w:w="2126" w:type="dxa"/>
            <w:shd w:val="clear" w:color="000000" w:fill="FFFFFF"/>
            <w:noWrap/>
            <w:vAlign w:val="center"/>
            <w:hideMark/>
          </w:tcPr>
          <w:p w14:paraId="0CA971A4"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Shareholders' Funds</w:t>
            </w:r>
          </w:p>
        </w:tc>
        <w:tc>
          <w:tcPr>
            <w:tcW w:w="1315" w:type="dxa"/>
            <w:vAlign w:val="center"/>
          </w:tcPr>
          <w:p w14:paraId="5B7969F8" w14:textId="150E1B20" w:rsidR="00777034" w:rsidRPr="004140E8" w:rsidRDefault="00E2364C" w:rsidP="009441DB">
            <w:pPr>
              <w:jc w:val="right"/>
              <w:rPr>
                <w:rFonts w:asciiTheme="minorHAnsi" w:hAnsiTheme="minorHAnsi" w:cstheme="minorHAnsi"/>
                <w:color w:val="FF0000"/>
                <w:sz w:val="18"/>
                <w:szCs w:val="18"/>
                <w:lang w:eastAsia="en-GB"/>
              </w:rPr>
            </w:pPr>
            <w:r>
              <w:rPr>
                <w:rFonts w:asciiTheme="minorHAnsi" w:hAnsiTheme="minorHAnsi" w:cstheme="minorHAnsi"/>
                <w:color w:val="000000" w:themeColor="text1"/>
                <w:sz w:val="18"/>
                <w:szCs w:val="18"/>
                <w:lang w:eastAsia="en-GB"/>
              </w:rPr>
              <w:t>88,834</w:t>
            </w:r>
            <w:r w:rsidR="00777034" w:rsidRPr="004140E8">
              <w:rPr>
                <w:rFonts w:asciiTheme="minorHAnsi" w:hAnsiTheme="minorHAnsi" w:cstheme="minorHAnsi"/>
                <w:color w:val="000000" w:themeColor="text1"/>
                <w:sz w:val="18"/>
                <w:szCs w:val="18"/>
                <w:lang w:eastAsia="en-GB"/>
              </w:rPr>
              <w:t xml:space="preserve"> </w:t>
            </w:r>
          </w:p>
        </w:tc>
        <w:tc>
          <w:tcPr>
            <w:tcW w:w="1315" w:type="dxa"/>
            <w:vAlign w:val="center"/>
          </w:tcPr>
          <w:p w14:paraId="5BE338EE" w14:textId="225EB511" w:rsidR="00777034" w:rsidRPr="004140E8" w:rsidRDefault="00E2364C" w:rsidP="009441DB">
            <w:pPr>
              <w:jc w:val="right"/>
              <w:rPr>
                <w:rFonts w:asciiTheme="minorHAnsi" w:hAnsiTheme="minorHAnsi" w:cstheme="minorHAnsi"/>
                <w:color w:val="FF0000"/>
                <w:sz w:val="18"/>
                <w:szCs w:val="18"/>
                <w:lang w:eastAsia="en-GB"/>
              </w:rPr>
            </w:pPr>
            <w:r>
              <w:rPr>
                <w:rFonts w:asciiTheme="minorHAnsi" w:hAnsiTheme="minorHAnsi" w:cstheme="minorHAnsi"/>
                <w:color w:val="000000" w:themeColor="text1"/>
                <w:sz w:val="18"/>
                <w:szCs w:val="18"/>
                <w:lang w:eastAsia="en-GB"/>
              </w:rPr>
              <w:t>95,035</w:t>
            </w:r>
            <w:r w:rsidR="00777034" w:rsidRPr="004140E8">
              <w:rPr>
                <w:rFonts w:asciiTheme="minorHAnsi" w:hAnsiTheme="minorHAnsi" w:cstheme="minorHAnsi"/>
                <w:color w:val="000000" w:themeColor="text1"/>
                <w:sz w:val="18"/>
                <w:szCs w:val="18"/>
                <w:lang w:eastAsia="en-GB"/>
              </w:rPr>
              <w:t xml:space="preserve"> </w:t>
            </w:r>
          </w:p>
        </w:tc>
        <w:tc>
          <w:tcPr>
            <w:tcW w:w="1315" w:type="dxa"/>
            <w:shd w:val="clear" w:color="auto" w:fill="auto"/>
            <w:noWrap/>
            <w:vAlign w:val="center"/>
          </w:tcPr>
          <w:p w14:paraId="370BDEEC" w14:textId="77777777"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c>
          <w:tcPr>
            <w:tcW w:w="1315" w:type="dxa"/>
          </w:tcPr>
          <w:p w14:paraId="4739ECD3" w14:textId="77777777" w:rsidR="00777034" w:rsidRPr="004140E8" w:rsidRDefault="00777034" w:rsidP="009441DB">
            <w:pPr>
              <w:keepNext/>
              <w:keepLines/>
              <w:spacing w:before="120" w:line="276" w:lineRule="auto"/>
              <w:jc w:val="right"/>
              <w:rPr>
                <w:rFonts w:asciiTheme="minorHAnsi" w:hAnsiTheme="minorHAnsi" w:cstheme="minorHAnsi"/>
                <w:color w:val="000000" w:themeColor="text1"/>
                <w:sz w:val="18"/>
                <w:szCs w:val="18"/>
                <w:lang w:eastAsia="en-GB"/>
              </w:rPr>
            </w:pPr>
          </w:p>
        </w:tc>
        <w:tc>
          <w:tcPr>
            <w:tcW w:w="1316" w:type="dxa"/>
            <w:shd w:val="clear" w:color="auto" w:fill="auto"/>
            <w:noWrap/>
            <w:vAlign w:val="center"/>
            <w:hideMark/>
          </w:tcPr>
          <w:p w14:paraId="5D73E31E" w14:textId="12790177"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r>
      <w:tr w:rsidR="00777034" w:rsidRPr="0040299B" w14:paraId="4CD9B3C6" w14:textId="77777777" w:rsidTr="007A0F4A">
        <w:trPr>
          <w:trHeight w:val="360"/>
          <w:jc w:val="center"/>
        </w:trPr>
        <w:tc>
          <w:tcPr>
            <w:tcW w:w="2126" w:type="dxa"/>
            <w:shd w:val="clear" w:color="000000" w:fill="FFFFFF"/>
            <w:noWrap/>
            <w:vAlign w:val="center"/>
          </w:tcPr>
          <w:p w14:paraId="506AA833"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EBITDA %</w:t>
            </w:r>
          </w:p>
        </w:tc>
        <w:tc>
          <w:tcPr>
            <w:tcW w:w="1315" w:type="dxa"/>
            <w:vAlign w:val="center"/>
          </w:tcPr>
          <w:p w14:paraId="26C3967A" w14:textId="265500F4" w:rsidR="00777034" w:rsidRPr="004140E8" w:rsidRDefault="00E2364C" w:rsidP="009441DB">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-1%</w:t>
            </w:r>
            <w:r w:rsidR="00777034" w:rsidRPr="004140E8">
              <w:rPr>
                <w:rFonts w:asciiTheme="minorHAnsi" w:hAnsiTheme="minorHAnsi" w:cstheme="minorHAnsi"/>
                <w:color w:val="000000" w:themeColor="text1"/>
                <w:sz w:val="18"/>
                <w:szCs w:val="18"/>
                <w:lang w:eastAsia="en-GB"/>
              </w:rPr>
              <w:t xml:space="preserve"> </w:t>
            </w:r>
          </w:p>
        </w:tc>
        <w:tc>
          <w:tcPr>
            <w:tcW w:w="1315" w:type="dxa"/>
            <w:vAlign w:val="center"/>
          </w:tcPr>
          <w:p w14:paraId="38709A04" w14:textId="261257D3" w:rsidR="00777034" w:rsidRPr="004140E8" w:rsidRDefault="00E2364C" w:rsidP="009441DB">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-6%</w:t>
            </w:r>
            <w:r w:rsidR="00777034" w:rsidRPr="004140E8">
              <w:rPr>
                <w:rFonts w:asciiTheme="minorHAnsi" w:hAnsiTheme="minorHAnsi" w:cstheme="minorHAnsi"/>
                <w:color w:val="000000" w:themeColor="text1"/>
                <w:sz w:val="18"/>
                <w:szCs w:val="18"/>
                <w:lang w:eastAsia="en-GB"/>
              </w:rPr>
              <w:t xml:space="preserve"> </w:t>
            </w:r>
          </w:p>
        </w:tc>
        <w:tc>
          <w:tcPr>
            <w:tcW w:w="1315" w:type="dxa"/>
            <w:shd w:val="clear" w:color="auto" w:fill="auto"/>
            <w:noWrap/>
            <w:vAlign w:val="center"/>
          </w:tcPr>
          <w:p w14:paraId="52D1612C" w14:textId="77777777"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c>
          <w:tcPr>
            <w:tcW w:w="1315" w:type="dxa"/>
          </w:tcPr>
          <w:p w14:paraId="580CD499" w14:textId="77777777" w:rsidR="00777034" w:rsidRPr="004140E8" w:rsidRDefault="00777034" w:rsidP="009441DB">
            <w:pPr>
              <w:keepNext/>
              <w:keepLines/>
              <w:spacing w:before="120" w:line="276" w:lineRule="auto"/>
              <w:jc w:val="right"/>
              <w:rPr>
                <w:rFonts w:asciiTheme="minorHAnsi" w:hAnsiTheme="minorHAnsi" w:cstheme="minorHAnsi"/>
                <w:color w:val="000000" w:themeColor="text1"/>
                <w:sz w:val="18"/>
                <w:szCs w:val="18"/>
                <w:lang w:eastAsia="en-GB"/>
              </w:rPr>
            </w:pPr>
          </w:p>
        </w:tc>
        <w:tc>
          <w:tcPr>
            <w:tcW w:w="1316" w:type="dxa"/>
            <w:shd w:val="clear" w:color="auto" w:fill="auto"/>
            <w:noWrap/>
            <w:vAlign w:val="center"/>
          </w:tcPr>
          <w:p w14:paraId="4589A708" w14:textId="143F3625" w:rsidR="00777034" w:rsidRPr="004140E8" w:rsidRDefault="00777034" w:rsidP="009441DB">
            <w:pPr>
              <w:keepNext/>
              <w:keepLines/>
              <w:spacing w:before="120" w:line="276" w:lineRule="auto"/>
              <w:jc w:val="right"/>
              <w:rPr>
                <w:rFonts w:asciiTheme="minorHAnsi" w:hAnsiTheme="minorHAnsi" w:cstheme="minorHAnsi"/>
                <w:color w:val="000000" w:themeColor="text1"/>
                <w:sz w:val="18"/>
                <w:szCs w:val="18"/>
                <w:lang w:eastAsia="en-GB"/>
              </w:rPr>
            </w:pPr>
          </w:p>
        </w:tc>
      </w:tr>
      <w:tr w:rsidR="00777034" w:rsidRPr="0040299B" w14:paraId="415061B6" w14:textId="77777777" w:rsidTr="007A0F4A">
        <w:trPr>
          <w:trHeight w:val="360"/>
          <w:jc w:val="center"/>
        </w:trPr>
        <w:tc>
          <w:tcPr>
            <w:tcW w:w="2126" w:type="dxa"/>
            <w:shd w:val="clear" w:color="000000" w:fill="FFFFFF"/>
            <w:noWrap/>
            <w:vAlign w:val="center"/>
          </w:tcPr>
          <w:p w14:paraId="56D292E9"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NOPAT %</w:t>
            </w:r>
          </w:p>
        </w:tc>
        <w:tc>
          <w:tcPr>
            <w:tcW w:w="1315" w:type="dxa"/>
            <w:vAlign w:val="center"/>
          </w:tcPr>
          <w:p w14:paraId="675AE8A2" w14:textId="28C0028F" w:rsidR="00777034" w:rsidRPr="004140E8" w:rsidRDefault="00E2364C" w:rsidP="009441DB">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-1%</w:t>
            </w:r>
            <w:r w:rsidR="00777034" w:rsidRPr="004140E8">
              <w:rPr>
                <w:rFonts w:asciiTheme="minorHAnsi" w:hAnsiTheme="minorHAnsi" w:cstheme="minorHAnsi"/>
                <w:color w:val="000000" w:themeColor="text1"/>
                <w:sz w:val="18"/>
                <w:szCs w:val="18"/>
                <w:lang w:eastAsia="en-GB"/>
              </w:rPr>
              <w:t xml:space="preserve"> </w:t>
            </w:r>
          </w:p>
        </w:tc>
        <w:tc>
          <w:tcPr>
            <w:tcW w:w="1315" w:type="dxa"/>
            <w:vAlign w:val="center"/>
          </w:tcPr>
          <w:p w14:paraId="259B6F96" w14:textId="49E06583" w:rsidR="00777034" w:rsidRPr="004140E8" w:rsidRDefault="00E2364C" w:rsidP="009441DB">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-5.6%</w:t>
            </w:r>
            <w:r w:rsidR="00777034" w:rsidRPr="004140E8">
              <w:rPr>
                <w:rFonts w:asciiTheme="minorHAnsi" w:hAnsiTheme="minorHAnsi" w:cstheme="minorHAnsi"/>
                <w:color w:val="000000" w:themeColor="text1"/>
                <w:sz w:val="18"/>
                <w:szCs w:val="18"/>
                <w:lang w:eastAsia="en-GB"/>
              </w:rPr>
              <w:t xml:space="preserve"> </w:t>
            </w:r>
          </w:p>
        </w:tc>
        <w:tc>
          <w:tcPr>
            <w:tcW w:w="1315" w:type="dxa"/>
            <w:shd w:val="clear" w:color="auto" w:fill="auto"/>
            <w:noWrap/>
            <w:vAlign w:val="center"/>
          </w:tcPr>
          <w:p w14:paraId="57149413" w14:textId="77777777"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c>
          <w:tcPr>
            <w:tcW w:w="1315" w:type="dxa"/>
          </w:tcPr>
          <w:p w14:paraId="10D49686" w14:textId="77777777" w:rsidR="00777034" w:rsidRPr="004140E8" w:rsidRDefault="00777034" w:rsidP="009441DB">
            <w:pPr>
              <w:keepNext/>
              <w:keepLines/>
              <w:spacing w:before="120" w:line="276" w:lineRule="auto"/>
              <w:jc w:val="right"/>
              <w:rPr>
                <w:rFonts w:asciiTheme="minorHAnsi" w:hAnsiTheme="minorHAnsi" w:cstheme="minorHAnsi"/>
                <w:color w:val="000000" w:themeColor="text1"/>
                <w:sz w:val="18"/>
                <w:szCs w:val="18"/>
                <w:lang w:eastAsia="en-GB"/>
              </w:rPr>
            </w:pPr>
          </w:p>
        </w:tc>
        <w:tc>
          <w:tcPr>
            <w:tcW w:w="1316" w:type="dxa"/>
            <w:shd w:val="clear" w:color="auto" w:fill="auto"/>
            <w:noWrap/>
            <w:vAlign w:val="center"/>
          </w:tcPr>
          <w:p w14:paraId="4B817ACA" w14:textId="7F44E365" w:rsidR="00777034" w:rsidRPr="004140E8" w:rsidRDefault="00777034" w:rsidP="009441DB">
            <w:pPr>
              <w:keepNext/>
              <w:keepLines/>
              <w:spacing w:before="120" w:line="276" w:lineRule="auto"/>
              <w:jc w:val="right"/>
              <w:rPr>
                <w:rFonts w:asciiTheme="minorHAnsi" w:hAnsiTheme="minorHAnsi" w:cstheme="minorHAnsi"/>
                <w:color w:val="000000" w:themeColor="text1"/>
                <w:sz w:val="18"/>
                <w:szCs w:val="18"/>
                <w:lang w:eastAsia="en-GB"/>
              </w:rPr>
            </w:pPr>
          </w:p>
        </w:tc>
      </w:tr>
      <w:tr w:rsidR="00777034" w:rsidRPr="0040299B" w14:paraId="0FC870BC" w14:textId="77777777" w:rsidTr="007A0F4A">
        <w:trPr>
          <w:trHeight w:val="360"/>
          <w:jc w:val="center"/>
        </w:trPr>
        <w:tc>
          <w:tcPr>
            <w:tcW w:w="2126" w:type="dxa"/>
            <w:shd w:val="clear" w:color="000000" w:fill="FFFFFF"/>
            <w:noWrap/>
            <w:vAlign w:val="center"/>
            <w:hideMark/>
          </w:tcPr>
          <w:p w14:paraId="43C16426"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ROE %</w:t>
            </w:r>
          </w:p>
        </w:tc>
        <w:tc>
          <w:tcPr>
            <w:tcW w:w="1315" w:type="dxa"/>
            <w:vAlign w:val="center"/>
          </w:tcPr>
          <w:p w14:paraId="6D2BE842" w14:textId="40A33F3C" w:rsidR="00777034" w:rsidRPr="004140E8" w:rsidRDefault="00E2364C" w:rsidP="009441DB">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-0.3%</w:t>
            </w:r>
            <w:r w:rsidR="00777034" w:rsidRPr="004140E8">
              <w:rPr>
                <w:rFonts w:asciiTheme="minorHAnsi" w:hAnsiTheme="minorHAnsi" w:cstheme="minorHAnsi"/>
                <w:color w:val="000000" w:themeColor="text1"/>
                <w:sz w:val="18"/>
                <w:szCs w:val="18"/>
                <w:lang w:eastAsia="en-GB"/>
              </w:rPr>
              <w:t xml:space="preserve"> </w:t>
            </w:r>
          </w:p>
        </w:tc>
        <w:tc>
          <w:tcPr>
            <w:tcW w:w="1315" w:type="dxa"/>
            <w:vAlign w:val="center"/>
          </w:tcPr>
          <w:p w14:paraId="487A1FBE" w14:textId="78DB77CB" w:rsidR="00777034" w:rsidRPr="004140E8" w:rsidRDefault="00E2364C" w:rsidP="009441DB">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-1.6%</w:t>
            </w:r>
            <w:r w:rsidR="00777034" w:rsidRPr="004140E8">
              <w:rPr>
                <w:rFonts w:asciiTheme="minorHAnsi" w:hAnsiTheme="minorHAnsi" w:cstheme="minorHAnsi"/>
                <w:color w:val="000000" w:themeColor="text1"/>
                <w:sz w:val="18"/>
                <w:szCs w:val="18"/>
                <w:lang w:eastAsia="en-GB"/>
              </w:rPr>
              <w:t xml:space="preserve"> </w:t>
            </w:r>
          </w:p>
        </w:tc>
        <w:tc>
          <w:tcPr>
            <w:tcW w:w="1315" w:type="dxa"/>
            <w:shd w:val="clear" w:color="auto" w:fill="auto"/>
            <w:noWrap/>
            <w:vAlign w:val="center"/>
          </w:tcPr>
          <w:p w14:paraId="102087EE" w14:textId="77777777"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c>
          <w:tcPr>
            <w:tcW w:w="1315" w:type="dxa"/>
          </w:tcPr>
          <w:p w14:paraId="6ADF9555" w14:textId="77777777" w:rsidR="00777034" w:rsidRPr="004140E8" w:rsidRDefault="00777034" w:rsidP="009441DB">
            <w:pPr>
              <w:keepNext/>
              <w:keepLines/>
              <w:spacing w:before="120" w:line="276" w:lineRule="auto"/>
              <w:jc w:val="right"/>
              <w:rPr>
                <w:rFonts w:asciiTheme="minorHAnsi" w:hAnsiTheme="minorHAnsi" w:cstheme="minorHAnsi"/>
                <w:color w:val="000000" w:themeColor="text1"/>
                <w:sz w:val="18"/>
                <w:szCs w:val="18"/>
                <w:lang w:eastAsia="en-GB"/>
              </w:rPr>
            </w:pPr>
          </w:p>
        </w:tc>
        <w:tc>
          <w:tcPr>
            <w:tcW w:w="1316" w:type="dxa"/>
            <w:shd w:val="clear" w:color="auto" w:fill="auto"/>
            <w:noWrap/>
            <w:vAlign w:val="center"/>
            <w:hideMark/>
          </w:tcPr>
          <w:p w14:paraId="4B0B6903" w14:textId="469F5DD5"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r>
      <w:tr w:rsidR="00777034" w:rsidRPr="0040299B" w14:paraId="3A518604" w14:textId="77777777" w:rsidTr="007A0F4A">
        <w:trPr>
          <w:trHeight w:val="360"/>
          <w:jc w:val="center"/>
        </w:trPr>
        <w:tc>
          <w:tcPr>
            <w:tcW w:w="2126" w:type="dxa"/>
            <w:shd w:val="clear" w:color="000000" w:fill="FFFFFF"/>
            <w:noWrap/>
            <w:vAlign w:val="center"/>
            <w:hideMark/>
          </w:tcPr>
          <w:p w14:paraId="17998B34"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ROA %</w:t>
            </w:r>
          </w:p>
        </w:tc>
        <w:tc>
          <w:tcPr>
            <w:tcW w:w="1315" w:type="dxa"/>
            <w:vAlign w:val="center"/>
          </w:tcPr>
          <w:p w14:paraId="787E187D" w14:textId="168FACA5" w:rsidR="00777034" w:rsidRPr="007A0F4A" w:rsidRDefault="00E2364C" w:rsidP="009441DB">
            <w:pPr>
              <w:keepNext/>
              <w:keepLines/>
              <w:spacing w:before="120" w:line="276" w:lineRule="auto"/>
              <w:jc w:val="right"/>
              <w:rPr>
                <w:rFonts w:asciiTheme="minorHAnsi" w:hAnsiTheme="minorHAnsi" w:cstheme="minorHAnsi"/>
                <w:color w:val="000000" w:themeColor="text1"/>
                <w:sz w:val="18"/>
                <w:szCs w:val="18"/>
                <w:lang w:eastAsia="en-GB"/>
              </w:rPr>
            </w:pPr>
            <w:r w:rsidRPr="007A0F4A">
              <w:rPr>
                <w:rFonts w:asciiTheme="minorHAnsi" w:hAnsiTheme="minorHAnsi" w:cstheme="minorHAnsi"/>
                <w:color w:val="000000" w:themeColor="text1"/>
                <w:sz w:val="18"/>
                <w:szCs w:val="18"/>
                <w:lang w:eastAsia="en-GB"/>
              </w:rPr>
              <w:t>-0.3%</w:t>
            </w:r>
          </w:p>
        </w:tc>
        <w:tc>
          <w:tcPr>
            <w:tcW w:w="1315" w:type="dxa"/>
            <w:vAlign w:val="center"/>
          </w:tcPr>
          <w:p w14:paraId="187E6202" w14:textId="2617583B" w:rsidR="00777034" w:rsidRPr="004140E8" w:rsidRDefault="00E2364C" w:rsidP="009441DB">
            <w:pPr>
              <w:jc w:val="right"/>
              <w:rPr>
                <w:rFonts w:asciiTheme="minorHAnsi" w:hAnsiTheme="minorHAnsi" w:cstheme="minorHAnsi"/>
                <w:color w:val="FF0000"/>
                <w:sz w:val="18"/>
                <w:szCs w:val="18"/>
                <w:lang w:eastAsia="en-GB"/>
              </w:rPr>
            </w:pPr>
            <w:r>
              <w:rPr>
                <w:rFonts w:asciiTheme="minorHAnsi" w:hAnsiTheme="minorHAnsi" w:cstheme="minorHAnsi"/>
                <w:color w:val="000000" w:themeColor="text1"/>
                <w:sz w:val="18"/>
                <w:szCs w:val="18"/>
                <w:lang w:eastAsia="en-GB"/>
              </w:rPr>
              <w:t>-0.3%</w:t>
            </w:r>
            <w:r w:rsidR="00777034" w:rsidRPr="004140E8">
              <w:rPr>
                <w:rFonts w:asciiTheme="minorHAnsi" w:hAnsiTheme="minorHAnsi" w:cstheme="minorHAnsi"/>
                <w:color w:val="000000" w:themeColor="text1"/>
                <w:sz w:val="18"/>
                <w:szCs w:val="18"/>
                <w:lang w:eastAsia="en-GB"/>
              </w:rPr>
              <w:t xml:space="preserve"> </w:t>
            </w:r>
          </w:p>
        </w:tc>
        <w:tc>
          <w:tcPr>
            <w:tcW w:w="1315" w:type="dxa"/>
            <w:shd w:val="clear" w:color="auto" w:fill="auto"/>
            <w:noWrap/>
            <w:vAlign w:val="center"/>
          </w:tcPr>
          <w:p w14:paraId="43829E19" w14:textId="77777777"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c>
          <w:tcPr>
            <w:tcW w:w="1315" w:type="dxa"/>
          </w:tcPr>
          <w:p w14:paraId="6B43DA87" w14:textId="77777777" w:rsidR="00777034" w:rsidRPr="004140E8" w:rsidRDefault="00777034" w:rsidP="009441DB">
            <w:pPr>
              <w:keepNext/>
              <w:keepLines/>
              <w:spacing w:before="120" w:line="276" w:lineRule="auto"/>
              <w:jc w:val="right"/>
              <w:rPr>
                <w:rFonts w:asciiTheme="minorHAnsi" w:hAnsiTheme="minorHAnsi" w:cstheme="minorHAnsi"/>
                <w:color w:val="000000" w:themeColor="text1"/>
                <w:sz w:val="18"/>
                <w:szCs w:val="18"/>
                <w:lang w:eastAsia="en-GB"/>
              </w:rPr>
            </w:pPr>
          </w:p>
        </w:tc>
        <w:tc>
          <w:tcPr>
            <w:tcW w:w="1316" w:type="dxa"/>
            <w:shd w:val="clear" w:color="auto" w:fill="auto"/>
            <w:noWrap/>
            <w:vAlign w:val="center"/>
            <w:hideMark/>
          </w:tcPr>
          <w:p w14:paraId="04F807D7" w14:textId="1E70DFBB"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r>
      <w:tr w:rsidR="00777034" w:rsidRPr="0040299B" w14:paraId="703F2C8F" w14:textId="77777777" w:rsidTr="007A0F4A">
        <w:trPr>
          <w:trHeight w:val="360"/>
          <w:jc w:val="center"/>
        </w:trPr>
        <w:tc>
          <w:tcPr>
            <w:tcW w:w="2126" w:type="dxa"/>
            <w:shd w:val="clear" w:color="000000" w:fill="FFFFFF"/>
            <w:noWrap/>
            <w:vAlign w:val="center"/>
          </w:tcPr>
          <w:p w14:paraId="648F2928"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Current Assets / Current liabilities</w:t>
            </w:r>
          </w:p>
        </w:tc>
        <w:tc>
          <w:tcPr>
            <w:tcW w:w="1315" w:type="dxa"/>
            <w:vAlign w:val="center"/>
          </w:tcPr>
          <w:p w14:paraId="632ADE56" w14:textId="68A08FA5" w:rsidR="00777034" w:rsidRPr="004140E8" w:rsidRDefault="00E2364C" w:rsidP="009441DB">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2.79</w:t>
            </w:r>
            <w:r w:rsidR="00777034" w:rsidRPr="004140E8">
              <w:rPr>
                <w:rFonts w:asciiTheme="minorHAnsi" w:hAnsiTheme="minorHAnsi" w:cstheme="minorHAnsi"/>
                <w:color w:val="000000" w:themeColor="text1"/>
                <w:sz w:val="18"/>
                <w:szCs w:val="18"/>
                <w:lang w:eastAsia="en-GB"/>
              </w:rPr>
              <w:t xml:space="preserve"> </w:t>
            </w:r>
          </w:p>
        </w:tc>
        <w:tc>
          <w:tcPr>
            <w:tcW w:w="1315" w:type="dxa"/>
            <w:vAlign w:val="center"/>
          </w:tcPr>
          <w:p w14:paraId="7EA07E47" w14:textId="72B3A054" w:rsidR="00777034" w:rsidRPr="004140E8" w:rsidRDefault="00E2364C" w:rsidP="009441DB">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3.26</w:t>
            </w:r>
            <w:r w:rsidR="00777034" w:rsidRPr="004140E8">
              <w:rPr>
                <w:rFonts w:asciiTheme="minorHAnsi" w:hAnsiTheme="minorHAnsi" w:cstheme="minorHAnsi"/>
                <w:color w:val="000000" w:themeColor="text1"/>
                <w:sz w:val="18"/>
                <w:szCs w:val="18"/>
                <w:lang w:eastAsia="en-GB"/>
              </w:rPr>
              <w:t xml:space="preserve"> </w:t>
            </w:r>
          </w:p>
        </w:tc>
        <w:tc>
          <w:tcPr>
            <w:tcW w:w="1315" w:type="dxa"/>
            <w:shd w:val="clear" w:color="auto" w:fill="auto"/>
            <w:noWrap/>
            <w:vAlign w:val="center"/>
          </w:tcPr>
          <w:p w14:paraId="6E195F5A" w14:textId="77777777"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c>
          <w:tcPr>
            <w:tcW w:w="1315" w:type="dxa"/>
          </w:tcPr>
          <w:p w14:paraId="5A06485C" w14:textId="77777777" w:rsidR="00777034" w:rsidRPr="004140E8" w:rsidRDefault="00777034" w:rsidP="009441DB">
            <w:pPr>
              <w:keepNext/>
              <w:keepLines/>
              <w:spacing w:before="120" w:line="276" w:lineRule="auto"/>
              <w:jc w:val="right"/>
              <w:rPr>
                <w:rFonts w:asciiTheme="minorHAnsi" w:hAnsiTheme="minorHAnsi" w:cstheme="minorHAnsi"/>
                <w:color w:val="000000" w:themeColor="text1"/>
                <w:sz w:val="18"/>
                <w:szCs w:val="18"/>
                <w:lang w:eastAsia="en-GB"/>
              </w:rPr>
            </w:pPr>
          </w:p>
        </w:tc>
        <w:tc>
          <w:tcPr>
            <w:tcW w:w="1316" w:type="dxa"/>
            <w:shd w:val="clear" w:color="auto" w:fill="auto"/>
            <w:noWrap/>
            <w:vAlign w:val="center"/>
          </w:tcPr>
          <w:p w14:paraId="5E6BFFBF" w14:textId="252365D4"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r>
      <w:tr w:rsidR="00777034" w:rsidRPr="0040299B" w14:paraId="1AB98B95" w14:textId="77777777" w:rsidTr="007A0F4A">
        <w:trPr>
          <w:trHeight w:val="360"/>
          <w:jc w:val="center"/>
        </w:trPr>
        <w:tc>
          <w:tcPr>
            <w:tcW w:w="2126" w:type="dxa"/>
            <w:shd w:val="clear" w:color="000000" w:fill="FFFFFF"/>
            <w:noWrap/>
            <w:vAlign w:val="center"/>
          </w:tcPr>
          <w:p w14:paraId="429D528D"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Quick Ratio</w:t>
            </w:r>
          </w:p>
        </w:tc>
        <w:tc>
          <w:tcPr>
            <w:tcW w:w="1315" w:type="dxa"/>
            <w:vAlign w:val="center"/>
          </w:tcPr>
          <w:p w14:paraId="2874B494" w14:textId="4A4E14B2" w:rsidR="00777034" w:rsidRPr="004140E8" w:rsidRDefault="00E2364C" w:rsidP="009441DB">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2.72</w:t>
            </w:r>
            <w:r w:rsidR="00777034" w:rsidRPr="004140E8">
              <w:rPr>
                <w:rFonts w:asciiTheme="minorHAnsi" w:hAnsiTheme="minorHAnsi" w:cstheme="minorHAnsi"/>
                <w:color w:val="000000" w:themeColor="text1"/>
                <w:sz w:val="18"/>
                <w:szCs w:val="18"/>
                <w:lang w:eastAsia="en-GB"/>
              </w:rPr>
              <w:t xml:space="preserve"> </w:t>
            </w:r>
          </w:p>
        </w:tc>
        <w:tc>
          <w:tcPr>
            <w:tcW w:w="1315" w:type="dxa"/>
            <w:vAlign w:val="center"/>
          </w:tcPr>
          <w:p w14:paraId="204064F0" w14:textId="307CD299" w:rsidR="00777034" w:rsidRPr="004140E8" w:rsidRDefault="00E2364C" w:rsidP="009441DB">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3.21</w:t>
            </w:r>
            <w:r w:rsidR="00777034" w:rsidRPr="004140E8">
              <w:rPr>
                <w:rFonts w:asciiTheme="minorHAnsi" w:hAnsiTheme="minorHAnsi" w:cstheme="minorHAnsi"/>
                <w:color w:val="000000" w:themeColor="text1"/>
                <w:sz w:val="18"/>
                <w:szCs w:val="18"/>
                <w:lang w:eastAsia="en-GB"/>
              </w:rPr>
              <w:t xml:space="preserve"> </w:t>
            </w:r>
          </w:p>
        </w:tc>
        <w:tc>
          <w:tcPr>
            <w:tcW w:w="1315" w:type="dxa"/>
            <w:shd w:val="clear" w:color="auto" w:fill="auto"/>
            <w:noWrap/>
            <w:vAlign w:val="center"/>
          </w:tcPr>
          <w:p w14:paraId="616D167D" w14:textId="77777777"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c>
          <w:tcPr>
            <w:tcW w:w="1315" w:type="dxa"/>
          </w:tcPr>
          <w:p w14:paraId="75A191C1" w14:textId="77777777" w:rsidR="00777034" w:rsidRPr="004140E8" w:rsidRDefault="00777034" w:rsidP="009441DB">
            <w:pPr>
              <w:keepNext/>
              <w:keepLines/>
              <w:spacing w:before="120" w:line="276" w:lineRule="auto"/>
              <w:jc w:val="right"/>
              <w:rPr>
                <w:rFonts w:asciiTheme="minorHAnsi" w:hAnsiTheme="minorHAnsi" w:cstheme="minorHAnsi"/>
                <w:color w:val="000000" w:themeColor="text1"/>
                <w:sz w:val="18"/>
                <w:szCs w:val="18"/>
                <w:lang w:eastAsia="en-GB"/>
              </w:rPr>
            </w:pPr>
          </w:p>
        </w:tc>
        <w:tc>
          <w:tcPr>
            <w:tcW w:w="1316" w:type="dxa"/>
            <w:shd w:val="clear" w:color="auto" w:fill="auto"/>
            <w:noWrap/>
            <w:vAlign w:val="center"/>
          </w:tcPr>
          <w:p w14:paraId="3104A84E" w14:textId="3E12E32A" w:rsidR="00777034" w:rsidRPr="004140E8" w:rsidRDefault="00777034" w:rsidP="009441DB">
            <w:pPr>
              <w:keepNext/>
              <w:keepLines/>
              <w:spacing w:before="120" w:line="276" w:lineRule="auto"/>
              <w:jc w:val="right"/>
              <w:rPr>
                <w:rFonts w:asciiTheme="minorHAnsi" w:hAnsiTheme="minorHAnsi" w:cstheme="minorHAnsi"/>
                <w:color w:val="000000" w:themeColor="text1"/>
                <w:sz w:val="18"/>
                <w:szCs w:val="18"/>
                <w:lang w:eastAsia="en-GB"/>
              </w:rPr>
            </w:pPr>
          </w:p>
        </w:tc>
      </w:tr>
      <w:tr w:rsidR="00777034" w:rsidRPr="0040299B" w14:paraId="0CF5D10D" w14:textId="77777777" w:rsidTr="007A0F4A">
        <w:trPr>
          <w:trHeight w:val="360"/>
          <w:jc w:val="center"/>
        </w:trPr>
        <w:tc>
          <w:tcPr>
            <w:tcW w:w="2126" w:type="dxa"/>
            <w:shd w:val="clear" w:color="000000" w:fill="FFFFFF"/>
            <w:noWrap/>
            <w:vAlign w:val="center"/>
          </w:tcPr>
          <w:p w14:paraId="5B2CA566"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Accounts Receivable Days</w:t>
            </w:r>
          </w:p>
        </w:tc>
        <w:tc>
          <w:tcPr>
            <w:tcW w:w="1315" w:type="dxa"/>
            <w:vAlign w:val="center"/>
          </w:tcPr>
          <w:p w14:paraId="5AD224D4" w14:textId="77777777"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c>
          <w:tcPr>
            <w:tcW w:w="1315" w:type="dxa"/>
            <w:vAlign w:val="center"/>
          </w:tcPr>
          <w:p w14:paraId="4ADBACA3" w14:textId="77777777"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c>
          <w:tcPr>
            <w:tcW w:w="1315" w:type="dxa"/>
            <w:shd w:val="clear" w:color="auto" w:fill="auto"/>
            <w:noWrap/>
            <w:vAlign w:val="center"/>
          </w:tcPr>
          <w:p w14:paraId="687AB7F6" w14:textId="77777777"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c>
          <w:tcPr>
            <w:tcW w:w="1315" w:type="dxa"/>
          </w:tcPr>
          <w:p w14:paraId="03A87C98" w14:textId="77777777" w:rsidR="00777034" w:rsidRPr="004140E8" w:rsidRDefault="00777034" w:rsidP="009441DB">
            <w:pPr>
              <w:keepNext/>
              <w:keepLines/>
              <w:spacing w:before="120" w:line="276" w:lineRule="auto"/>
              <w:jc w:val="right"/>
              <w:rPr>
                <w:rFonts w:asciiTheme="minorHAnsi" w:hAnsiTheme="minorHAnsi" w:cstheme="minorHAnsi"/>
                <w:color w:val="000000" w:themeColor="text1"/>
                <w:sz w:val="18"/>
                <w:szCs w:val="18"/>
                <w:lang w:eastAsia="en-GB"/>
              </w:rPr>
            </w:pPr>
          </w:p>
        </w:tc>
        <w:tc>
          <w:tcPr>
            <w:tcW w:w="1316" w:type="dxa"/>
            <w:shd w:val="clear" w:color="auto" w:fill="auto"/>
            <w:noWrap/>
            <w:vAlign w:val="center"/>
          </w:tcPr>
          <w:p w14:paraId="46F054E6" w14:textId="52618E9A" w:rsidR="00777034" w:rsidRPr="004140E8" w:rsidRDefault="00777034" w:rsidP="009441DB">
            <w:pPr>
              <w:keepNext/>
              <w:keepLines/>
              <w:spacing w:before="120" w:line="276" w:lineRule="auto"/>
              <w:jc w:val="right"/>
              <w:rPr>
                <w:rFonts w:asciiTheme="minorHAnsi" w:hAnsiTheme="minorHAnsi" w:cstheme="minorHAnsi"/>
                <w:color w:val="000000" w:themeColor="text1"/>
                <w:sz w:val="18"/>
                <w:szCs w:val="18"/>
                <w:lang w:eastAsia="en-GB"/>
              </w:rPr>
            </w:pPr>
          </w:p>
        </w:tc>
      </w:tr>
      <w:tr w:rsidR="00777034" w:rsidRPr="0040299B" w14:paraId="23FC6627" w14:textId="77777777" w:rsidTr="004140E8">
        <w:trPr>
          <w:trHeight w:val="360"/>
          <w:jc w:val="center"/>
        </w:trPr>
        <w:tc>
          <w:tcPr>
            <w:tcW w:w="2126" w:type="dxa"/>
            <w:shd w:val="clear" w:color="000000" w:fill="FFFFFF"/>
            <w:noWrap/>
            <w:vAlign w:val="center"/>
          </w:tcPr>
          <w:p w14:paraId="4D619CDD"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Assets Turnover</w:t>
            </w:r>
          </w:p>
        </w:tc>
        <w:tc>
          <w:tcPr>
            <w:tcW w:w="1315" w:type="dxa"/>
            <w:vAlign w:val="center"/>
          </w:tcPr>
          <w:p w14:paraId="34CBAC84" w14:textId="1F56CE05" w:rsidR="00777034" w:rsidRPr="004140E8" w:rsidRDefault="00A72A44" w:rsidP="009441DB">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0.03</w:t>
            </w:r>
            <w:r w:rsidR="00777034" w:rsidRPr="004140E8">
              <w:rPr>
                <w:rFonts w:asciiTheme="minorHAnsi" w:hAnsiTheme="minorHAnsi" w:cstheme="minorHAnsi"/>
                <w:color w:val="000000" w:themeColor="text1"/>
                <w:sz w:val="18"/>
                <w:szCs w:val="18"/>
                <w:lang w:eastAsia="en-GB"/>
              </w:rPr>
              <w:t xml:space="preserve"> </w:t>
            </w:r>
          </w:p>
        </w:tc>
        <w:tc>
          <w:tcPr>
            <w:tcW w:w="1315" w:type="dxa"/>
            <w:vAlign w:val="center"/>
          </w:tcPr>
          <w:p w14:paraId="04A622D1" w14:textId="556C6453" w:rsidR="00777034" w:rsidRPr="004140E8" w:rsidRDefault="00A72A44" w:rsidP="009441DB">
            <w:pPr>
              <w:jc w:val="right"/>
              <w:rPr>
                <w:rFonts w:asciiTheme="minorHAnsi" w:hAnsiTheme="minorHAnsi" w:cstheme="minorHAnsi"/>
                <w:color w:val="000000" w:themeColor="text1"/>
                <w:sz w:val="18"/>
                <w:szCs w:val="18"/>
                <w:lang w:eastAsia="en-GB"/>
              </w:rPr>
            </w:pPr>
            <w:r>
              <w:rPr>
                <w:rFonts w:asciiTheme="minorHAnsi" w:hAnsiTheme="minorHAnsi" w:cstheme="minorHAnsi"/>
                <w:color w:val="000000" w:themeColor="text1"/>
                <w:sz w:val="18"/>
                <w:szCs w:val="18"/>
                <w:lang w:eastAsia="en-GB"/>
              </w:rPr>
              <w:t>0.02</w:t>
            </w:r>
            <w:r w:rsidR="00777034" w:rsidRPr="004140E8">
              <w:rPr>
                <w:rFonts w:asciiTheme="minorHAnsi" w:hAnsiTheme="minorHAnsi" w:cstheme="minorHAnsi"/>
                <w:color w:val="000000" w:themeColor="text1"/>
                <w:sz w:val="18"/>
                <w:szCs w:val="18"/>
                <w:lang w:eastAsia="en-GB"/>
              </w:rPr>
              <w:t xml:space="preserve"> </w:t>
            </w:r>
          </w:p>
        </w:tc>
        <w:tc>
          <w:tcPr>
            <w:tcW w:w="1315" w:type="dxa"/>
            <w:shd w:val="clear" w:color="auto" w:fill="auto"/>
            <w:noWrap/>
            <w:vAlign w:val="center"/>
          </w:tcPr>
          <w:p w14:paraId="74925DC0" w14:textId="77777777"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c>
          <w:tcPr>
            <w:tcW w:w="1315" w:type="dxa"/>
          </w:tcPr>
          <w:p w14:paraId="03FEB531" w14:textId="77777777" w:rsidR="00777034" w:rsidRPr="004140E8" w:rsidRDefault="00777034" w:rsidP="009441DB">
            <w:pPr>
              <w:keepNext/>
              <w:keepLines/>
              <w:spacing w:before="120" w:line="276" w:lineRule="auto"/>
              <w:jc w:val="right"/>
              <w:rPr>
                <w:rFonts w:asciiTheme="minorHAnsi" w:hAnsiTheme="minorHAnsi" w:cstheme="minorHAnsi"/>
                <w:color w:val="000000" w:themeColor="text1"/>
                <w:sz w:val="18"/>
                <w:szCs w:val="18"/>
                <w:lang w:eastAsia="en-GB"/>
              </w:rPr>
            </w:pPr>
          </w:p>
        </w:tc>
        <w:tc>
          <w:tcPr>
            <w:tcW w:w="1316" w:type="dxa"/>
            <w:shd w:val="clear" w:color="auto" w:fill="auto"/>
            <w:noWrap/>
            <w:vAlign w:val="center"/>
          </w:tcPr>
          <w:p w14:paraId="2E2386F0" w14:textId="71C0941B" w:rsidR="00777034" w:rsidRPr="004140E8" w:rsidRDefault="00777034" w:rsidP="009441DB">
            <w:pPr>
              <w:keepNext/>
              <w:keepLines/>
              <w:spacing w:before="120" w:line="276" w:lineRule="auto"/>
              <w:jc w:val="right"/>
              <w:rPr>
                <w:rFonts w:asciiTheme="minorHAnsi" w:hAnsiTheme="minorHAnsi" w:cstheme="minorHAnsi"/>
                <w:color w:val="000000" w:themeColor="text1"/>
                <w:sz w:val="18"/>
                <w:szCs w:val="18"/>
                <w:lang w:eastAsia="en-GB"/>
              </w:rPr>
            </w:pPr>
          </w:p>
        </w:tc>
      </w:tr>
      <w:tr w:rsidR="00777034" w:rsidRPr="0040299B" w14:paraId="4A6AECA6" w14:textId="77777777" w:rsidTr="004140E8">
        <w:trPr>
          <w:trHeight w:val="360"/>
          <w:jc w:val="center"/>
        </w:trPr>
        <w:tc>
          <w:tcPr>
            <w:tcW w:w="2126" w:type="dxa"/>
            <w:shd w:val="clear" w:color="000000" w:fill="FFFFFF"/>
            <w:noWrap/>
            <w:vAlign w:val="center"/>
            <w:hideMark/>
          </w:tcPr>
          <w:p w14:paraId="24E7AC27" w14:textId="77777777" w:rsidR="00777034" w:rsidRPr="004140E8" w:rsidRDefault="00777034" w:rsidP="009441DB">
            <w:pPr>
              <w:rPr>
                <w:rFonts w:asciiTheme="minorHAnsi" w:hAnsiTheme="minorHAnsi" w:cstheme="minorHAnsi"/>
                <w:sz w:val="18"/>
                <w:szCs w:val="18"/>
                <w:lang w:eastAsia="en-GB"/>
              </w:rPr>
            </w:pPr>
            <w:r w:rsidRPr="004140E8">
              <w:rPr>
                <w:rFonts w:asciiTheme="minorHAnsi" w:hAnsiTheme="minorHAnsi" w:cstheme="minorHAnsi"/>
                <w:sz w:val="18"/>
                <w:szCs w:val="18"/>
                <w:lang w:eastAsia="en-GB"/>
              </w:rPr>
              <w:t>Debt / Equity Ratio</w:t>
            </w:r>
          </w:p>
        </w:tc>
        <w:tc>
          <w:tcPr>
            <w:tcW w:w="1315" w:type="dxa"/>
            <w:vAlign w:val="center"/>
          </w:tcPr>
          <w:p w14:paraId="66C420AB" w14:textId="77777777" w:rsidR="00777034" w:rsidRPr="004140E8" w:rsidRDefault="00777034" w:rsidP="009441DB">
            <w:pPr>
              <w:jc w:val="right"/>
              <w:rPr>
                <w:rFonts w:asciiTheme="minorHAnsi" w:hAnsiTheme="minorHAnsi" w:cstheme="minorHAnsi"/>
                <w:color w:val="FF0000"/>
                <w:sz w:val="18"/>
                <w:szCs w:val="18"/>
                <w:lang w:eastAsia="en-GB"/>
              </w:rPr>
            </w:pPr>
            <w:r w:rsidRPr="004140E8">
              <w:rPr>
                <w:rFonts w:asciiTheme="minorHAnsi" w:hAnsiTheme="minorHAnsi" w:cstheme="minorHAnsi"/>
                <w:color w:val="000000" w:themeColor="text1"/>
                <w:sz w:val="18"/>
                <w:szCs w:val="18"/>
                <w:lang w:eastAsia="en-GB"/>
              </w:rPr>
              <w:t xml:space="preserve"> </w:t>
            </w:r>
          </w:p>
        </w:tc>
        <w:tc>
          <w:tcPr>
            <w:tcW w:w="1315" w:type="dxa"/>
            <w:vAlign w:val="center"/>
          </w:tcPr>
          <w:p w14:paraId="0D262B6C" w14:textId="77777777" w:rsidR="00777034" w:rsidRPr="004140E8" w:rsidRDefault="00777034" w:rsidP="009441DB">
            <w:pPr>
              <w:jc w:val="right"/>
              <w:rPr>
                <w:rFonts w:asciiTheme="minorHAnsi" w:hAnsiTheme="minorHAnsi" w:cstheme="minorHAnsi"/>
                <w:color w:val="FF0000"/>
                <w:sz w:val="18"/>
                <w:szCs w:val="18"/>
                <w:lang w:eastAsia="en-GB"/>
              </w:rPr>
            </w:pPr>
            <w:r w:rsidRPr="004140E8">
              <w:rPr>
                <w:rFonts w:asciiTheme="minorHAnsi" w:hAnsiTheme="minorHAnsi" w:cstheme="minorHAnsi"/>
                <w:color w:val="000000" w:themeColor="text1"/>
                <w:sz w:val="18"/>
                <w:szCs w:val="18"/>
                <w:lang w:eastAsia="en-GB"/>
              </w:rPr>
              <w:t xml:space="preserve"> </w:t>
            </w:r>
          </w:p>
        </w:tc>
        <w:tc>
          <w:tcPr>
            <w:tcW w:w="1315" w:type="dxa"/>
            <w:shd w:val="clear" w:color="auto" w:fill="auto"/>
            <w:noWrap/>
            <w:vAlign w:val="center"/>
          </w:tcPr>
          <w:p w14:paraId="0C5C85E9" w14:textId="77777777"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c>
          <w:tcPr>
            <w:tcW w:w="1315" w:type="dxa"/>
          </w:tcPr>
          <w:p w14:paraId="233FE13F" w14:textId="77777777" w:rsidR="00777034" w:rsidRPr="004140E8" w:rsidRDefault="00777034" w:rsidP="009441DB">
            <w:pPr>
              <w:keepNext/>
              <w:keepLines/>
              <w:spacing w:before="120" w:line="276" w:lineRule="auto"/>
              <w:jc w:val="right"/>
              <w:rPr>
                <w:rFonts w:asciiTheme="minorHAnsi" w:hAnsiTheme="minorHAnsi" w:cstheme="minorHAnsi"/>
                <w:color w:val="000000" w:themeColor="text1"/>
                <w:sz w:val="18"/>
                <w:szCs w:val="18"/>
                <w:lang w:eastAsia="en-GB"/>
              </w:rPr>
            </w:pPr>
          </w:p>
        </w:tc>
        <w:tc>
          <w:tcPr>
            <w:tcW w:w="1316" w:type="dxa"/>
            <w:shd w:val="clear" w:color="auto" w:fill="auto"/>
            <w:noWrap/>
            <w:vAlign w:val="center"/>
            <w:hideMark/>
          </w:tcPr>
          <w:p w14:paraId="5489ED8C" w14:textId="5D79C322" w:rsidR="00777034" w:rsidRPr="004140E8" w:rsidRDefault="00777034" w:rsidP="009441DB">
            <w:pPr>
              <w:jc w:val="right"/>
              <w:rPr>
                <w:rFonts w:asciiTheme="minorHAnsi" w:hAnsiTheme="minorHAnsi" w:cstheme="minorHAnsi"/>
                <w:color w:val="000000" w:themeColor="text1"/>
                <w:sz w:val="18"/>
                <w:szCs w:val="18"/>
                <w:lang w:eastAsia="en-GB"/>
              </w:rPr>
            </w:pPr>
            <w:r w:rsidRPr="004140E8">
              <w:rPr>
                <w:rFonts w:asciiTheme="minorHAnsi" w:hAnsiTheme="minorHAnsi" w:cstheme="minorHAnsi"/>
                <w:color w:val="000000" w:themeColor="text1"/>
                <w:sz w:val="18"/>
                <w:szCs w:val="18"/>
                <w:lang w:eastAsia="en-GB"/>
              </w:rPr>
              <w:t xml:space="preserve">  </w:t>
            </w:r>
          </w:p>
        </w:tc>
      </w:tr>
    </w:tbl>
    <w:p w14:paraId="03057F84" w14:textId="77777777" w:rsidR="00BF16A3" w:rsidRPr="00D25BE7" w:rsidRDefault="00BF16A3" w:rsidP="00BF16A3">
      <w:pPr>
        <w:rPr>
          <w:rFonts w:asciiTheme="minorHAnsi" w:hAnsiTheme="minorHAnsi"/>
          <w:color w:val="000000" w:themeColor="text1"/>
          <w:lang w:val="en-GB"/>
        </w:rPr>
      </w:pPr>
      <w:r w:rsidRPr="00D25BE7">
        <w:rPr>
          <w:rFonts w:asciiTheme="minorHAnsi" w:hAnsiTheme="minorHAnsi"/>
        </w:rPr>
        <w:t xml:space="preserve"> </w:t>
      </w:r>
    </w:p>
    <w:p w14:paraId="6F86BB02" w14:textId="77777777" w:rsidR="006F19D5" w:rsidRPr="00D25BE7" w:rsidRDefault="006F19D5" w:rsidP="006F19D5">
      <w:pPr>
        <w:rPr>
          <w:rFonts w:asciiTheme="minorHAnsi" w:hAnsiTheme="minorHAnsi" w:cs="Arial"/>
          <w:szCs w:val="22"/>
        </w:rPr>
      </w:pPr>
    </w:p>
    <w:p w14:paraId="3814D988" w14:textId="020C0544" w:rsidR="00D7332B" w:rsidRPr="00664A69" w:rsidRDefault="00B62E68" w:rsidP="00D7332B">
      <w:pPr>
        <w:pStyle w:val="ListParagraph"/>
        <w:ind w:left="426" w:hanging="426"/>
        <w:rPr>
          <w:rFonts w:asciiTheme="minorHAnsi" w:hAnsiTheme="minorHAnsi"/>
          <w:color w:val="000000" w:themeColor="text1"/>
          <w:szCs w:val="22"/>
          <w:lang w:val="en-GB"/>
        </w:rPr>
      </w:pPr>
      <w:bookmarkStart w:id="27" w:name="_Toc453783137"/>
      <w:bookmarkStart w:id="28" w:name="_Toc457999751"/>
      <w:r w:rsidRPr="00664A69">
        <w:rPr>
          <w:rFonts w:asciiTheme="minorHAnsi" w:hAnsiTheme="minorHAnsi"/>
          <w:b/>
          <w:color w:val="000000" w:themeColor="text1"/>
          <w:sz w:val="24"/>
          <w:szCs w:val="24"/>
          <w:u w:val="single"/>
        </w:rPr>
        <w:t>Lesotho National Development Corporation</w:t>
      </w:r>
      <w:r w:rsidRPr="00664A69">
        <w:rPr>
          <w:rFonts w:asciiTheme="minorHAnsi" w:hAnsiTheme="minorHAnsi"/>
          <w:b/>
          <w:color w:val="000000" w:themeColor="text1"/>
          <w:u w:val="single"/>
        </w:rPr>
        <w:t xml:space="preserve"> </w:t>
      </w:r>
      <w:bookmarkEnd w:id="27"/>
      <w:bookmarkEnd w:id="28"/>
      <w:r w:rsidRPr="00664A69">
        <w:rPr>
          <w:rFonts w:asciiTheme="minorHAnsi" w:hAnsiTheme="minorHAnsi" w:cs="Arial"/>
          <w:szCs w:val="22"/>
        </w:rPr>
        <w:t xml:space="preserve">LNDC was created in 1967 as a 100 percent government owned statutory corporation.  Its core mandate is to initiate, promote and facilitate the development of manufacturing and processing industries, mining and commerce in </w:t>
      </w:r>
      <w:r w:rsidR="0078660E" w:rsidRPr="00664A69">
        <w:rPr>
          <w:rFonts w:asciiTheme="minorHAnsi" w:hAnsiTheme="minorHAnsi" w:cs="Arial"/>
          <w:szCs w:val="22"/>
        </w:rPr>
        <w:t xml:space="preserve">a </w:t>
      </w:r>
      <w:r w:rsidRPr="00664A69">
        <w:rPr>
          <w:rFonts w:asciiTheme="minorHAnsi" w:hAnsiTheme="minorHAnsi" w:cs="Arial"/>
          <w:szCs w:val="22"/>
        </w:rPr>
        <w:t xml:space="preserve">manner calculated to raise the level of income and employment in Lesotho. </w:t>
      </w:r>
      <w:proofErr w:type="gramStart"/>
      <w:r w:rsidR="009C571F" w:rsidRPr="00664A69">
        <w:rPr>
          <w:rFonts w:asciiTheme="minorHAnsi" w:hAnsiTheme="minorHAnsi" w:cs="Arial"/>
          <w:szCs w:val="22"/>
        </w:rPr>
        <w:t>It’s</w:t>
      </w:r>
      <w:proofErr w:type="gramEnd"/>
      <w:r w:rsidR="009C571F" w:rsidRPr="00664A69">
        <w:rPr>
          <w:rFonts w:asciiTheme="minorHAnsi" w:hAnsiTheme="minorHAnsi" w:cs="Arial"/>
          <w:szCs w:val="22"/>
        </w:rPr>
        <w:t xml:space="preserve"> vision is to be a catalyst for a diversified, globally competitive economy, underpinned by manufacturing and high-tech agro-processing industries. </w:t>
      </w:r>
      <w:r w:rsidR="00D7332B" w:rsidRPr="00664A69">
        <w:rPr>
          <w:rFonts w:asciiTheme="minorHAnsi" w:hAnsiTheme="minorHAnsi" w:cs="Arial"/>
          <w:lang w:val="en-GB"/>
        </w:rPr>
        <w:t xml:space="preserve">It is the Corporation’s key responsibility to contribute to </w:t>
      </w:r>
      <w:r w:rsidR="00DC2341" w:rsidRPr="00664A69">
        <w:rPr>
          <w:rFonts w:asciiTheme="minorHAnsi" w:hAnsiTheme="minorHAnsi" w:cs="Arial"/>
          <w:lang w:val="en-GB"/>
        </w:rPr>
        <w:t xml:space="preserve">job creation, </w:t>
      </w:r>
      <w:r w:rsidR="00D7332B" w:rsidRPr="00664A69">
        <w:rPr>
          <w:rFonts w:asciiTheme="minorHAnsi" w:hAnsiTheme="minorHAnsi" w:cs="Arial"/>
          <w:lang w:val="en-GB"/>
        </w:rPr>
        <w:t>national economic growth and development. The LNDC carries out this role by promoting Lesotho as an attractive and a preferred investment location to both foreign and local investors. LNDC offers a wide range of investment promotion, facilitation and supportive services. These include serviced industrial sites; factory buildings; business support services; after care services; financial assistance on a selective basis; and where possible, selective limited equity participation in projects considered to be of strategic importance to the economy.”</w:t>
      </w:r>
      <w:r w:rsidR="005E7170" w:rsidRPr="00664A69">
        <w:rPr>
          <w:rFonts w:asciiTheme="minorHAnsi" w:hAnsiTheme="minorHAnsi" w:cs="Arial"/>
          <w:lang w:val="en-GB"/>
        </w:rPr>
        <w:t xml:space="preserve"> </w:t>
      </w:r>
    </w:p>
    <w:p w14:paraId="0784D6A6" w14:textId="40A6962E" w:rsidR="0078660E" w:rsidRPr="00D25BE7" w:rsidRDefault="00B62E68" w:rsidP="00D7332B">
      <w:pPr>
        <w:pStyle w:val="ListParagraph"/>
        <w:ind w:left="426" w:hanging="426"/>
        <w:rPr>
          <w:rFonts w:asciiTheme="minorHAnsi" w:hAnsiTheme="minorHAnsi"/>
          <w:color w:val="000000" w:themeColor="text1"/>
          <w:szCs w:val="22"/>
          <w:lang w:val="en-GB"/>
        </w:rPr>
      </w:pPr>
      <w:r w:rsidRPr="00664A69">
        <w:rPr>
          <w:rFonts w:asciiTheme="minorHAnsi" w:hAnsiTheme="minorHAnsi" w:cs="Arial"/>
          <w:szCs w:val="22"/>
        </w:rPr>
        <w:t>It has 45 employees</w:t>
      </w:r>
      <w:r w:rsidRPr="00D25BE7">
        <w:rPr>
          <w:rFonts w:asciiTheme="minorHAnsi" w:hAnsiTheme="minorHAnsi" w:cs="Arial"/>
          <w:szCs w:val="22"/>
        </w:rPr>
        <w:t xml:space="preserve"> and offers a wide range of investor services. These include provision of nine industrial zones</w:t>
      </w:r>
      <w:r w:rsidR="00D7332B" w:rsidRPr="00D25BE7">
        <w:rPr>
          <w:rFonts w:asciiTheme="minorHAnsi" w:hAnsiTheme="minorHAnsi" w:cs="Arial"/>
          <w:szCs w:val="22"/>
        </w:rPr>
        <w:t xml:space="preserve"> and</w:t>
      </w:r>
      <w:r w:rsidRPr="00D25BE7">
        <w:rPr>
          <w:rFonts w:asciiTheme="minorHAnsi" w:hAnsiTheme="minorHAnsi" w:cs="Arial"/>
          <w:szCs w:val="22"/>
        </w:rPr>
        <w:t xml:space="preserve"> factory shells</w:t>
      </w:r>
      <w:r w:rsidR="00D7332B" w:rsidRPr="00D25BE7">
        <w:rPr>
          <w:rFonts w:asciiTheme="minorHAnsi" w:hAnsiTheme="minorHAnsi" w:cs="Arial"/>
          <w:szCs w:val="22"/>
        </w:rPr>
        <w:t>.</w:t>
      </w:r>
      <w:r w:rsidRPr="00D25BE7">
        <w:rPr>
          <w:rFonts w:asciiTheme="minorHAnsi" w:hAnsiTheme="minorHAnsi" w:cs="Arial"/>
          <w:szCs w:val="22"/>
        </w:rPr>
        <w:t xml:space="preserve"> LNDC is also engaged in investment and property management and </w:t>
      </w:r>
      <w:r w:rsidR="00DE15BF">
        <w:rPr>
          <w:rFonts w:asciiTheme="minorHAnsi" w:hAnsiTheme="minorHAnsi" w:cs="Arial"/>
          <w:szCs w:val="22"/>
        </w:rPr>
        <w:t xml:space="preserve">theoretically </w:t>
      </w:r>
      <w:r w:rsidRPr="00D25BE7">
        <w:rPr>
          <w:rFonts w:asciiTheme="minorHAnsi" w:hAnsiTheme="minorHAnsi" w:cs="Arial"/>
          <w:szCs w:val="22"/>
        </w:rPr>
        <w:t>raises most of its finance from property rentals and dividends from investments in companies. Other sources of revenue include interest on loans</w:t>
      </w:r>
      <w:r w:rsidR="00DE15BF">
        <w:rPr>
          <w:rFonts w:asciiTheme="minorHAnsi" w:hAnsiTheme="minorHAnsi" w:cs="Arial"/>
          <w:szCs w:val="22"/>
        </w:rPr>
        <w:t>.</w:t>
      </w:r>
    </w:p>
    <w:p w14:paraId="2F810372" w14:textId="117D3642" w:rsidR="0078660E" w:rsidRPr="00D25BE7" w:rsidRDefault="00B62E68" w:rsidP="0078660E">
      <w:pPr>
        <w:pStyle w:val="ListParagraph"/>
        <w:ind w:left="426" w:hanging="426"/>
        <w:rPr>
          <w:rFonts w:asciiTheme="minorHAnsi" w:hAnsiTheme="minorHAnsi"/>
          <w:color w:val="000000" w:themeColor="text1"/>
          <w:szCs w:val="22"/>
          <w:lang w:val="en-GB"/>
        </w:rPr>
      </w:pPr>
      <w:r w:rsidRPr="00D25BE7">
        <w:rPr>
          <w:rFonts w:asciiTheme="minorHAnsi" w:hAnsiTheme="minorHAnsi" w:cs="Arial"/>
          <w:szCs w:val="22"/>
        </w:rPr>
        <w:t>From the late 1980s LNDC was instrumental in attracting investors in the garment industry from East Asia, notably Taiwan.</w:t>
      </w:r>
      <w:r w:rsidR="0095261B">
        <w:rPr>
          <w:rFonts w:asciiTheme="minorHAnsi" w:hAnsiTheme="minorHAnsi" w:cs="Arial"/>
          <w:szCs w:val="22"/>
        </w:rPr>
        <w:t xml:space="preserve"> </w:t>
      </w:r>
      <w:r w:rsidRPr="00D25BE7">
        <w:rPr>
          <w:rFonts w:asciiTheme="minorHAnsi" w:hAnsiTheme="minorHAnsi" w:cs="Arial"/>
          <w:szCs w:val="22"/>
        </w:rPr>
        <w:t>In the 1990s and early 2000s, partially through LNDC's efforts, Lesotho became one of the first countries in southern Africa to qualify for benefits for its garment industry from the US African Growth and Opportunities Act (AGOA) trade agreement and Lesotho became the largest African supplier of apparel to the US.  More recently due to declines in competitiveness and uncertainty in preferential access, garment factories have been closing in Lesotho</w:t>
      </w:r>
      <w:r w:rsidR="0078660E" w:rsidRPr="00D25BE7">
        <w:rPr>
          <w:rFonts w:asciiTheme="minorHAnsi" w:hAnsiTheme="minorHAnsi" w:cs="Arial"/>
          <w:szCs w:val="22"/>
        </w:rPr>
        <w:t>.</w:t>
      </w:r>
    </w:p>
    <w:p w14:paraId="6D144420" w14:textId="20D10650" w:rsidR="0008377D" w:rsidRPr="00DC4450" w:rsidRDefault="00156DCB" w:rsidP="00C50B5B">
      <w:pPr>
        <w:pStyle w:val="ListParagraph"/>
        <w:ind w:left="426" w:hanging="426"/>
        <w:rPr>
          <w:rFonts w:asciiTheme="minorHAnsi" w:hAnsiTheme="minorHAnsi"/>
          <w:color w:val="000000" w:themeColor="text1"/>
          <w:szCs w:val="22"/>
          <w:lang w:val="en-GB"/>
        </w:rPr>
      </w:pPr>
      <w:r w:rsidRPr="00D25BE7">
        <w:rPr>
          <w:rFonts w:asciiTheme="minorHAnsi" w:hAnsiTheme="minorHAnsi"/>
          <w:color w:val="000000" w:themeColor="text1"/>
          <w:szCs w:val="22"/>
          <w:lang w:val="en-GB"/>
        </w:rPr>
        <w:lastRenderedPageBreak/>
        <w:t xml:space="preserve">LNDC </w:t>
      </w:r>
      <w:r w:rsidR="00D10781">
        <w:rPr>
          <w:rFonts w:asciiTheme="minorHAnsi" w:hAnsiTheme="minorHAnsi"/>
          <w:color w:val="000000" w:themeColor="text1"/>
          <w:szCs w:val="22"/>
          <w:lang w:val="en-GB"/>
        </w:rPr>
        <w:t>has been going through a process of restructuring</w:t>
      </w:r>
      <w:r w:rsidRPr="00D25BE7">
        <w:rPr>
          <w:rFonts w:asciiTheme="minorHAnsi" w:hAnsiTheme="minorHAnsi"/>
          <w:color w:val="000000" w:themeColor="text1"/>
          <w:szCs w:val="22"/>
          <w:lang w:val="en-GB"/>
        </w:rPr>
        <w:t xml:space="preserve"> </w:t>
      </w:r>
      <w:r w:rsidR="00D10781">
        <w:rPr>
          <w:rFonts w:asciiTheme="minorHAnsi" w:hAnsiTheme="minorHAnsi"/>
          <w:color w:val="000000" w:themeColor="text1"/>
          <w:szCs w:val="22"/>
          <w:lang w:val="en-GB"/>
        </w:rPr>
        <w:t xml:space="preserve">to </w:t>
      </w:r>
      <w:r w:rsidRPr="00D25BE7">
        <w:rPr>
          <w:rFonts w:asciiTheme="minorHAnsi" w:hAnsiTheme="minorHAnsi"/>
          <w:color w:val="000000" w:themeColor="text1"/>
          <w:szCs w:val="22"/>
          <w:lang w:val="en-GB"/>
        </w:rPr>
        <w:t xml:space="preserve">better </w:t>
      </w:r>
      <w:r w:rsidR="00D10781">
        <w:rPr>
          <w:rFonts w:asciiTheme="minorHAnsi" w:hAnsiTheme="minorHAnsi"/>
          <w:color w:val="000000" w:themeColor="text1"/>
          <w:szCs w:val="22"/>
          <w:lang w:val="en-GB"/>
        </w:rPr>
        <w:t xml:space="preserve">serve </w:t>
      </w:r>
      <w:r w:rsidRPr="00D25BE7">
        <w:rPr>
          <w:rFonts w:asciiTheme="minorHAnsi" w:hAnsiTheme="minorHAnsi"/>
          <w:color w:val="000000" w:themeColor="text1"/>
          <w:szCs w:val="22"/>
          <w:lang w:val="en-GB"/>
        </w:rPr>
        <w:t>its mission of private sector development.</w:t>
      </w:r>
      <w:r w:rsidRPr="00D25BE7">
        <w:rPr>
          <w:rFonts w:asciiTheme="minorHAnsi" w:hAnsiTheme="minorHAnsi" w:cs="Arial"/>
          <w:lang w:val="en-GB"/>
        </w:rPr>
        <w:t xml:space="preserve"> In 2018, LNDC announced that it was re-organising its activities into four strategic business units - development </w:t>
      </w:r>
      <w:r w:rsidRPr="00D25BE7">
        <w:rPr>
          <w:rFonts w:asciiTheme="minorHAnsi" w:eastAsia="Arial" w:hAnsiTheme="minorHAnsi" w:cs="Arial"/>
          <w:lang w:val="en-GB"/>
        </w:rPr>
        <w:t>fi</w:t>
      </w:r>
      <w:r w:rsidRPr="00D25BE7">
        <w:rPr>
          <w:rFonts w:asciiTheme="minorHAnsi" w:hAnsiTheme="minorHAnsi" w:cs="Arial"/>
          <w:lang w:val="en-GB"/>
        </w:rPr>
        <w:t>nance, property development, investment and trade promotion, and corporate services.</w:t>
      </w:r>
      <w:r w:rsidR="0008377D">
        <w:rPr>
          <w:rFonts w:asciiTheme="minorHAnsi" w:hAnsiTheme="minorHAnsi" w:cs="Arial"/>
          <w:lang w:val="en-GB"/>
        </w:rPr>
        <w:t xml:space="preserve"> During this phase a draft strategic plan with 12 strategic objectives under 5 main goals was developed.</w:t>
      </w:r>
      <w:r w:rsidR="0008377D">
        <w:rPr>
          <w:rFonts w:asciiTheme="minorHAnsi" w:hAnsiTheme="minorHAnsi"/>
          <w:color w:val="000000" w:themeColor="text1"/>
          <w:szCs w:val="22"/>
          <w:lang w:val="en-GB"/>
        </w:rPr>
        <w:t xml:space="preserve"> </w:t>
      </w:r>
      <w:r w:rsidR="006322B6">
        <w:rPr>
          <w:rFonts w:asciiTheme="minorHAnsi" w:hAnsiTheme="minorHAnsi"/>
          <w:color w:val="000000" w:themeColor="text1"/>
          <w:szCs w:val="22"/>
          <w:lang w:val="en-GB"/>
        </w:rPr>
        <w:t>This encompassed 38 relatively detailed and timebound strategic initiatives for implementation. However, LNDC has not produced an Annual Report in recent years (despite being required to do so under th</w:t>
      </w:r>
      <w:r w:rsidR="00C50B5B">
        <w:rPr>
          <w:rFonts w:asciiTheme="minorHAnsi" w:hAnsiTheme="minorHAnsi"/>
          <w:color w:val="000000" w:themeColor="text1"/>
          <w:szCs w:val="22"/>
          <w:lang w:val="en-GB"/>
        </w:rPr>
        <w:t>e PFMAA) so we cannot assess the implementation (or otherwise) of the company's non-financial key performance indicators.</w:t>
      </w:r>
    </w:p>
    <w:p w14:paraId="1B3EF403" w14:textId="77777777" w:rsidR="00156DCB" w:rsidRPr="00D25BE7" w:rsidRDefault="00156DCB" w:rsidP="00156DCB">
      <w:pPr>
        <w:pStyle w:val="ListParagraph"/>
        <w:ind w:left="426" w:hanging="426"/>
        <w:rPr>
          <w:rFonts w:asciiTheme="minorHAnsi" w:hAnsiTheme="minorHAnsi"/>
          <w:color w:val="000000" w:themeColor="text1"/>
          <w:szCs w:val="22"/>
          <w:lang w:val="en-GB"/>
        </w:rPr>
      </w:pPr>
      <w:r w:rsidRPr="00D25BE7">
        <w:rPr>
          <w:rFonts w:asciiTheme="minorHAnsi" w:hAnsiTheme="minorHAnsi"/>
          <w:color w:val="000000" w:themeColor="text1"/>
          <w:szCs w:val="22"/>
          <w:lang w:val="en-GB"/>
        </w:rPr>
        <w:t xml:space="preserve">Within the bounds of these strategic focus areas, LNDC must reconsider its role as an owner in other trading and manufacturing businesses. </w:t>
      </w:r>
      <w:r w:rsidRPr="00D25BE7">
        <w:rPr>
          <w:rFonts w:asciiTheme="minorHAnsi" w:hAnsiTheme="minorHAnsi" w:cs="Arial"/>
          <w:lang w:val="en-GB"/>
        </w:rPr>
        <w:t xml:space="preserve">The role of an investment promotion and enterprise development institution has evolved in many countries with less emphasis on ownership or participation in ownership, and more emphasis on being an advocate for improving the investment climate and representing Government’s view to investors and investors views to Government. </w:t>
      </w:r>
    </w:p>
    <w:p w14:paraId="7A624AB5" w14:textId="77777777" w:rsidR="00F239F0" w:rsidRPr="00D25BE7" w:rsidRDefault="00156DCB" w:rsidP="00F239F0">
      <w:pPr>
        <w:pStyle w:val="ListParagraph"/>
        <w:ind w:left="426" w:hanging="426"/>
        <w:rPr>
          <w:rFonts w:asciiTheme="minorHAnsi" w:hAnsiTheme="minorHAnsi"/>
          <w:color w:val="000000" w:themeColor="text1"/>
          <w:szCs w:val="22"/>
          <w:lang w:val="en-GB"/>
        </w:rPr>
      </w:pPr>
      <w:r w:rsidRPr="00D25BE7">
        <w:rPr>
          <w:rFonts w:asciiTheme="minorHAnsi" w:hAnsiTheme="minorHAnsi" w:cs="Arial"/>
          <w:lang w:val="en-GB"/>
        </w:rPr>
        <w:t xml:space="preserve">It is not necessary to retain shareholdings in companies that have been operating in Lesotho for some years to achieve the purpose of LNDC in promoting investment and economic development. Where a national development agency in a country holds shares in company start-ups as a form of support, it usually recycles and sells the shares to use the proceeds for alternative uses or supporting new start-ups. </w:t>
      </w:r>
    </w:p>
    <w:p w14:paraId="21165D46" w14:textId="30132198" w:rsidR="00F239F0" w:rsidRPr="00DC4450" w:rsidRDefault="00F239F0" w:rsidP="00F239F0">
      <w:pPr>
        <w:pStyle w:val="ListParagraph"/>
        <w:ind w:left="426" w:hanging="426"/>
        <w:rPr>
          <w:rFonts w:asciiTheme="minorHAnsi" w:hAnsiTheme="minorHAnsi"/>
          <w:color w:val="000000" w:themeColor="text1"/>
          <w:szCs w:val="22"/>
          <w:lang w:val="en-GB"/>
        </w:rPr>
      </w:pPr>
      <w:r w:rsidRPr="00DC4450">
        <w:rPr>
          <w:rFonts w:asciiTheme="minorHAnsi" w:hAnsiTheme="minorHAnsi" w:cs="Arial"/>
          <w:lang w:val="en-GB"/>
        </w:rPr>
        <w:t xml:space="preserve">In addition, because </w:t>
      </w:r>
      <w:r w:rsidRPr="00DC4450">
        <w:rPr>
          <w:rFonts w:asciiTheme="minorHAnsi" w:hAnsiTheme="minorHAnsi"/>
        </w:rPr>
        <w:t xml:space="preserve">LNDC is mandated to participate in some investments and provide rents at discounted rates as part of the investment incentive, then to the extent that such activities are non-commercial, LNDC will benefit from identifying market costs and prices and the effective social policy costs attached to the discounted rates that are applied. </w:t>
      </w:r>
    </w:p>
    <w:p w14:paraId="6F6248F1" w14:textId="2232B7BB" w:rsidR="00F93007" w:rsidRPr="00D25BE7" w:rsidRDefault="00F93007" w:rsidP="00BB5B62">
      <w:pPr>
        <w:pStyle w:val="ListParagraph"/>
        <w:ind w:left="426" w:hanging="426"/>
        <w:rPr>
          <w:rFonts w:asciiTheme="minorHAnsi" w:hAnsiTheme="minorHAnsi"/>
          <w:color w:val="000000" w:themeColor="text1"/>
          <w:szCs w:val="22"/>
          <w:lang w:val="en-GB"/>
        </w:rPr>
      </w:pPr>
      <w:r w:rsidRPr="00D25BE7">
        <w:rPr>
          <w:rFonts w:asciiTheme="minorHAnsi" w:hAnsiTheme="minorHAnsi"/>
          <w:color w:val="000000" w:themeColor="text1"/>
          <w:szCs w:val="22"/>
          <w:lang w:val="en-GB"/>
        </w:rPr>
        <w:t>Despite the apparent internal issues and reported inefficiencies, and although LNDC has never returned a dividend to Government, it has, especially in recent years performed well across a range of financial indicators. Profitability appears strong; however, the liquidity indicators are cause for concern</w:t>
      </w:r>
      <w:r w:rsidR="00053DDE">
        <w:rPr>
          <w:rFonts w:asciiTheme="minorHAnsi" w:hAnsiTheme="minorHAnsi"/>
          <w:color w:val="000000" w:themeColor="text1"/>
          <w:szCs w:val="22"/>
          <w:lang w:val="en-GB"/>
        </w:rPr>
        <w:t xml:space="preserve"> and revenue appears to have stagnated during the past 3 years.</w:t>
      </w:r>
    </w:p>
    <w:p w14:paraId="57DB99D5" w14:textId="37C3A919" w:rsidR="00BB5B62" w:rsidRPr="00D25BE7" w:rsidRDefault="00BB5B62" w:rsidP="00BB5B62">
      <w:pPr>
        <w:pStyle w:val="ListParagraph"/>
        <w:ind w:left="426" w:hanging="426"/>
        <w:rPr>
          <w:rFonts w:asciiTheme="minorHAnsi" w:hAnsiTheme="minorHAnsi"/>
          <w:color w:val="000000" w:themeColor="text1"/>
          <w:szCs w:val="22"/>
          <w:lang w:val="en-GB"/>
        </w:rPr>
      </w:pPr>
      <w:r w:rsidRPr="00D25BE7">
        <w:rPr>
          <w:rFonts w:asciiTheme="minorHAnsi" w:hAnsiTheme="minorHAnsi"/>
          <w:lang w:val="en-GB"/>
        </w:rPr>
        <w:t xml:space="preserve">The performance trend for </w:t>
      </w:r>
      <w:r w:rsidR="00F93007" w:rsidRPr="00D25BE7">
        <w:rPr>
          <w:rFonts w:asciiTheme="minorHAnsi" w:hAnsiTheme="minorHAnsi"/>
          <w:lang w:val="en-GB"/>
        </w:rPr>
        <w:t>LNDC</w:t>
      </w:r>
      <w:r w:rsidRPr="00D25BE7">
        <w:rPr>
          <w:rFonts w:asciiTheme="minorHAnsi" w:hAnsiTheme="minorHAnsi"/>
          <w:lang w:val="en-GB"/>
        </w:rPr>
        <w:t xml:space="preserve"> is therefore one of c</w:t>
      </w:r>
      <w:r w:rsidR="00F93007" w:rsidRPr="00D25BE7">
        <w:rPr>
          <w:rFonts w:asciiTheme="minorHAnsi" w:hAnsiTheme="minorHAnsi"/>
          <w:lang w:val="en-GB"/>
        </w:rPr>
        <w:t>autious optimism</w:t>
      </w:r>
      <w:r w:rsidRPr="00D25BE7">
        <w:rPr>
          <w:rFonts w:asciiTheme="minorHAnsi" w:hAnsiTheme="minorHAnsi"/>
          <w:lang w:val="en-GB"/>
        </w:rPr>
        <w:t xml:space="preserve">. Evidence suggests this is a key SOE </w:t>
      </w:r>
      <w:r w:rsidR="00F93007" w:rsidRPr="00D25BE7">
        <w:rPr>
          <w:rFonts w:asciiTheme="minorHAnsi" w:hAnsiTheme="minorHAnsi"/>
          <w:lang w:val="en-GB"/>
        </w:rPr>
        <w:t>managing important</w:t>
      </w:r>
      <w:r w:rsidR="00141E8E" w:rsidRPr="00D25BE7">
        <w:rPr>
          <w:rFonts w:asciiTheme="minorHAnsi" w:hAnsiTheme="minorHAnsi"/>
          <w:lang w:val="en-GB"/>
        </w:rPr>
        <w:t xml:space="preserve"> assets and investment opportunities. Internal restructure needs to preserve the capacity for commercial operations with proper allocated funding for any social operations.</w:t>
      </w:r>
    </w:p>
    <w:p w14:paraId="683B0689" w14:textId="40D47B18" w:rsidR="00FE7AA7" w:rsidRPr="009C6618" w:rsidRDefault="00FE7AA7" w:rsidP="00FE7AA7">
      <w:pPr>
        <w:ind w:firstLine="426"/>
        <w:rPr>
          <w:rFonts w:asciiTheme="minorHAnsi" w:hAnsiTheme="minorHAnsi"/>
          <w:b/>
          <w:sz w:val="20"/>
          <w:lang w:val="en-GB"/>
        </w:rPr>
      </w:pPr>
      <w:r w:rsidRPr="00243C32">
        <w:rPr>
          <w:rFonts w:asciiTheme="minorHAnsi" w:hAnsiTheme="minorHAnsi"/>
          <w:b/>
          <w:sz w:val="20"/>
          <w:lang w:val="en-GB"/>
        </w:rPr>
        <w:t>Figure 1</w:t>
      </w:r>
      <w:r w:rsidR="00B718A2" w:rsidRPr="00243C32">
        <w:rPr>
          <w:rFonts w:asciiTheme="minorHAnsi" w:hAnsiTheme="minorHAnsi"/>
          <w:b/>
          <w:sz w:val="20"/>
          <w:lang w:val="en-GB"/>
        </w:rPr>
        <w:t>8</w:t>
      </w:r>
      <w:r w:rsidRPr="00243C32">
        <w:rPr>
          <w:rFonts w:asciiTheme="minorHAnsi" w:hAnsiTheme="minorHAnsi"/>
          <w:b/>
          <w:sz w:val="20"/>
          <w:lang w:val="en-GB"/>
        </w:rPr>
        <w:t>:</w:t>
      </w:r>
      <w:r w:rsidR="00B718A2" w:rsidRPr="00B718A2">
        <w:rPr>
          <w:rFonts w:asciiTheme="minorHAnsi" w:hAnsiTheme="minorHAnsi"/>
          <w:b/>
          <w:sz w:val="20"/>
          <w:lang w:val="en-GB"/>
        </w:rPr>
        <w:t xml:space="preserve"> LNDC Returns</w:t>
      </w:r>
    </w:p>
    <w:p w14:paraId="507E724C" w14:textId="68FC8BD9" w:rsidR="00785B99" w:rsidRDefault="00785B99" w:rsidP="002A54CB">
      <w:pPr>
        <w:ind w:left="426"/>
        <w:rPr>
          <w:rFonts w:asciiTheme="minorHAnsi" w:hAnsiTheme="minorHAnsi"/>
          <w:color w:val="000000" w:themeColor="text1"/>
          <w:szCs w:val="22"/>
          <w:lang w:val="en-GB"/>
        </w:rPr>
      </w:pPr>
    </w:p>
    <w:p w14:paraId="3DA7F4B2" w14:textId="48C9E343" w:rsidR="00204E4F" w:rsidRDefault="0064578C" w:rsidP="002A54CB">
      <w:pPr>
        <w:ind w:left="426"/>
        <w:rPr>
          <w:rFonts w:asciiTheme="minorHAnsi" w:hAnsiTheme="minorHAnsi"/>
          <w:color w:val="000000" w:themeColor="text1"/>
          <w:szCs w:val="22"/>
          <w:lang w:val="en-GB"/>
        </w:rPr>
      </w:pPr>
      <w:r>
        <w:rPr>
          <w:noProof/>
        </w:rPr>
        <w:lastRenderedPageBreak/>
        <w:drawing>
          <wp:inline distT="0" distB="0" distL="0" distR="0" wp14:anchorId="04205A95" wp14:editId="0DA309D5">
            <wp:extent cx="4617085" cy="2712720"/>
            <wp:effectExtent l="25400" t="25400" r="107315" b="1066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2FD5A232" w14:textId="593C1864" w:rsidR="0072488E" w:rsidRPr="00D8583C" w:rsidRDefault="0072488E" w:rsidP="009D2028">
      <w:pPr>
        <w:ind w:firstLine="720"/>
        <w:rPr>
          <w:rFonts w:asciiTheme="minorHAnsi" w:eastAsia="CenturyGothic" w:hAnsiTheme="minorHAnsi" w:cs="Arial"/>
          <w:i/>
          <w:szCs w:val="22"/>
        </w:rPr>
      </w:pPr>
      <w:r>
        <w:rPr>
          <w:rFonts w:asciiTheme="minorHAnsi" w:hAnsiTheme="minorHAnsi" w:cs="Arial"/>
          <w:bCs/>
          <w:i/>
          <w:color w:val="000000"/>
          <w:sz w:val="20"/>
        </w:rPr>
        <w:t>Source: LNDC</w:t>
      </w:r>
      <w:r w:rsidRPr="00D8583C">
        <w:rPr>
          <w:rFonts w:asciiTheme="minorHAnsi" w:hAnsiTheme="minorHAnsi" w:cs="Arial"/>
          <w:bCs/>
          <w:i/>
          <w:color w:val="000000"/>
          <w:sz w:val="20"/>
        </w:rPr>
        <w:t xml:space="preserve"> AFS Various Years</w:t>
      </w:r>
    </w:p>
    <w:p w14:paraId="6F6337EA" w14:textId="77777777" w:rsidR="00204E4F" w:rsidRPr="00D25BE7" w:rsidRDefault="00204E4F" w:rsidP="002A54CB">
      <w:pPr>
        <w:ind w:left="426"/>
        <w:rPr>
          <w:rFonts w:asciiTheme="minorHAnsi" w:hAnsiTheme="minorHAnsi"/>
          <w:color w:val="000000" w:themeColor="text1"/>
          <w:szCs w:val="22"/>
          <w:lang w:val="en-GB"/>
        </w:rPr>
      </w:pPr>
    </w:p>
    <w:p w14:paraId="6E94E74D" w14:textId="77777777" w:rsidR="00785B99" w:rsidRPr="00D25BE7" w:rsidRDefault="00785B99" w:rsidP="00785B99">
      <w:pPr>
        <w:rPr>
          <w:rFonts w:asciiTheme="minorHAnsi" w:hAnsiTheme="minorHAnsi"/>
          <w:color w:val="000000" w:themeColor="text1"/>
          <w:szCs w:val="22"/>
          <w:lang w:val="en-GB"/>
        </w:rPr>
      </w:pPr>
    </w:p>
    <w:p w14:paraId="419A4F28" w14:textId="3B8DF68C" w:rsidR="00BB5B62" w:rsidRPr="00D25BE7" w:rsidRDefault="00804836" w:rsidP="00804836">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Relevant performance data for FY’1</w:t>
      </w:r>
      <w:r w:rsidR="00837CA7">
        <w:rPr>
          <w:rFonts w:asciiTheme="minorHAnsi" w:hAnsiTheme="minorHAnsi"/>
          <w:color w:val="000000" w:themeColor="text1"/>
          <w:lang w:val="en-GB"/>
        </w:rPr>
        <w:t>8</w:t>
      </w:r>
      <w:r w:rsidRPr="00D25BE7">
        <w:rPr>
          <w:rFonts w:asciiTheme="minorHAnsi" w:hAnsiTheme="minorHAnsi"/>
          <w:color w:val="000000" w:themeColor="text1"/>
          <w:lang w:val="en-GB"/>
        </w:rPr>
        <w:t xml:space="preserve"> is:</w:t>
      </w:r>
    </w:p>
    <w:p w14:paraId="3207CED7" w14:textId="32831C8A" w:rsidR="00804836" w:rsidRDefault="00804836" w:rsidP="00804836">
      <w:pPr>
        <w:rPr>
          <w:rFonts w:asciiTheme="minorHAnsi" w:hAnsiTheme="minorHAnsi"/>
          <w:b/>
          <w:sz w:val="20"/>
          <w:lang w:val="en-GB"/>
        </w:rPr>
      </w:pPr>
      <w:r w:rsidRPr="00243C32">
        <w:rPr>
          <w:rFonts w:asciiTheme="minorHAnsi" w:hAnsiTheme="minorHAnsi"/>
          <w:b/>
          <w:sz w:val="20"/>
          <w:lang w:val="en-GB"/>
        </w:rPr>
        <w:t xml:space="preserve">Table </w:t>
      </w:r>
      <w:r w:rsidR="00F35907" w:rsidRPr="00243C32">
        <w:rPr>
          <w:rFonts w:asciiTheme="minorHAnsi" w:hAnsiTheme="minorHAnsi"/>
          <w:b/>
          <w:sz w:val="20"/>
          <w:lang w:val="en-GB"/>
        </w:rPr>
        <w:t>1</w:t>
      </w:r>
      <w:r w:rsidR="00B718A2" w:rsidRPr="00243C32">
        <w:rPr>
          <w:rFonts w:asciiTheme="minorHAnsi" w:hAnsiTheme="minorHAnsi"/>
          <w:b/>
          <w:sz w:val="20"/>
          <w:lang w:val="en-GB"/>
        </w:rPr>
        <w:t>5</w:t>
      </w:r>
      <w:r w:rsidRPr="00243C32">
        <w:rPr>
          <w:rFonts w:asciiTheme="minorHAnsi" w:hAnsiTheme="minorHAnsi"/>
          <w:b/>
          <w:sz w:val="20"/>
          <w:lang w:val="en-GB"/>
        </w:rPr>
        <w:t>: Performance Highlights – LNDC</w:t>
      </w:r>
    </w:p>
    <w:p w14:paraId="4C490076" w14:textId="77777777" w:rsidR="00A9102A" w:rsidRPr="009C6618" w:rsidRDefault="00A9102A" w:rsidP="00804836">
      <w:pPr>
        <w:rPr>
          <w:rFonts w:asciiTheme="minorHAnsi" w:hAnsiTheme="minorHAnsi"/>
          <w:b/>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1276"/>
        <w:gridCol w:w="1276"/>
        <w:gridCol w:w="1276"/>
        <w:gridCol w:w="1276"/>
        <w:gridCol w:w="1276"/>
      </w:tblGrid>
      <w:tr w:rsidR="00783776" w:rsidRPr="00BB17CF" w14:paraId="442D08EA" w14:textId="77777777" w:rsidTr="002B5023">
        <w:trPr>
          <w:trHeight w:val="360"/>
          <w:tblHeader/>
          <w:jc w:val="center"/>
        </w:trPr>
        <w:tc>
          <w:tcPr>
            <w:tcW w:w="2008" w:type="dxa"/>
            <w:shd w:val="clear" w:color="auto" w:fill="D9D9D9" w:themeFill="background1" w:themeFillShade="D9"/>
            <w:noWrap/>
            <w:vAlign w:val="center"/>
            <w:hideMark/>
          </w:tcPr>
          <w:p w14:paraId="7096DAC1" w14:textId="77777777" w:rsidR="00783776" w:rsidRPr="002B5023" w:rsidRDefault="00783776" w:rsidP="009B4E87">
            <w:pPr>
              <w:ind w:firstLine="42"/>
              <w:rPr>
                <w:rFonts w:asciiTheme="minorHAnsi" w:hAnsiTheme="minorHAnsi"/>
                <w:sz w:val="18"/>
                <w:szCs w:val="18"/>
                <w:lang w:eastAsia="en-GB"/>
              </w:rPr>
            </w:pPr>
            <w:r w:rsidRPr="002B5023">
              <w:rPr>
                <w:rFonts w:asciiTheme="minorHAnsi" w:hAnsiTheme="minorHAnsi"/>
                <w:sz w:val="18"/>
                <w:szCs w:val="18"/>
                <w:lang w:eastAsia="en-GB"/>
              </w:rPr>
              <w:t>Performance Highlights (M '000)</w:t>
            </w:r>
          </w:p>
        </w:tc>
        <w:tc>
          <w:tcPr>
            <w:tcW w:w="1276" w:type="dxa"/>
            <w:shd w:val="clear" w:color="auto" w:fill="D9D9D9" w:themeFill="background1" w:themeFillShade="D9"/>
            <w:vAlign w:val="center"/>
          </w:tcPr>
          <w:p w14:paraId="66531758" w14:textId="48FBBCA9" w:rsidR="00783776" w:rsidRPr="002B5023" w:rsidRDefault="00783776" w:rsidP="009B4E87">
            <w:pPr>
              <w:jc w:val="center"/>
              <w:rPr>
                <w:rFonts w:asciiTheme="minorHAnsi" w:hAnsiTheme="minorHAnsi" w:cstheme="minorHAnsi"/>
                <w:b/>
                <w:bCs/>
                <w:color w:val="000000"/>
                <w:sz w:val="18"/>
                <w:szCs w:val="18"/>
                <w:lang w:eastAsia="en-GB"/>
              </w:rPr>
            </w:pPr>
            <w:r w:rsidRPr="002B5023">
              <w:rPr>
                <w:rFonts w:asciiTheme="minorHAnsi" w:hAnsiTheme="minorHAnsi" w:cstheme="minorHAnsi"/>
                <w:b/>
                <w:bCs/>
                <w:sz w:val="18"/>
                <w:szCs w:val="18"/>
                <w:lang w:eastAsia="en-GB"/>
              </w:rPr>
              <w:t>2014/15</w:t>
            </w:r>
          </w:p>
        </w:tc>
        <w:tc>
          <w:tcPr>
            <w:tcW w:w="1276" w:type="dxa"/>
            <w:shd w:val="clear" w:color="auto" w:fill="D9D9D9" w:themeFill="background1" w:themeFillShade="D9"/>
            <w:vAlign w:val="center"/>
          </w:tcPr>
          <w:p w14:paraId="1CB38747" w14:textId="0C90B5EE" w:rsidR="00783776" w:rsidRPr="002B5023" w:rsidRDefault="00783776" w:rsidP="009B4E87">
            <w:pPr>
              <w:jc w:val="center"/>
              <w:rPr>
                <w:rFonts w:asciiTheme="minorHAnsi" w:hAnsiTheme="minorHAnsi" w:cstheme="minorHAnsi"/>
                <w:b/>
                <w:bCs/>
                <w:color w:val="000000"/>
                <w:sz w:val="18"/>
                <w:szCs w:val="18"/>
                <w:lang w:eastAsia="en-GB"/>
              </w:rPr>
            </w:pPr>
            <w:r w:rsidRPr="002B5023">
              <w:rPr>
                <w:rFonts w:asciiTheme="minorHAnsi" w:hAnsiTheme="minorHAnsi" w:cstheme="minorHAnsi"/>
                <w:b/>
                <w:bCs/>
                <w:sz w:val="18"/>
                <w:szCs w:val="18"/>
                <w:lang w:eastAsia="en-GB"/>
              </w:rPr>
              <w:t>2015/16</w:t>
            </w:r>
          </w:p>
        </w:tc>
        <w:tc>
          <w:tcPr>
            <w:tcW w:w="1276" w:type="dxa"/>
            <w:shd w:val="clear" w:color="auto" w:fill="D9D9D9" w:themeFill="background1" w:themeFillShade="D9"/>
            <w:vAlign w:val="center"/>
            <w:hideMark/>
          </w:tcPr>
          <w:p w14:paraId="2E596F62" w14:textId="6AA40E44" w:rsidR="00783776" w:rsidRPr="002B5023" w:rsidRDefault="00783776" w:rsidP="009B4E87">
            <w:pPr>
              <w:jc w:val="center"/>
              <w:rPr>
                <w:rFonts w:asciiTheme="minorHAnsi" w:hAnsiTheme="minorHAnsi" w:cstheme="minorHAnsi"/>
                <w:b/>
                <w:bCs/>
                <w:sz w:val="18"/>
                <w:szCs w:val="18"/>
                <w:lang w:eastAsia="en-GB"/>
              </w:rPr>
            </w:pPr>
            <w:r w:rsidRPr="002B5023">
              <w:rPr>
                <w:rFonts w:asciiTheme="minorHAnsi" w:hAnsiTheme="minorHAnsi" w:cstheme="minorHAnsi"/>
                <w:b/>
                <w:bCs/>
                <w:sz w:val="18"/>
                <w:szCs w:val="18"/>
                <w:lang w:eastAsia="en-GB"/>
              </w:rPr>
              <w:t>2016/17</w:t>
            </w:r>
          </w:p>
        </w:tc>
        <w:tc>
          <w:tcPr>
            <w:tcW w:w="1276" w:type="dxa"/>
            <w:shd w:val="clear" w:color="auto" w:fill="D9D9D9" w:themeFill="background1" w:themeFillShade="D9"/>
            <w:vAlign w:val="center"/>
          </w:tcPr>
          <w:p w14:paraId="43A7699E" w14:textId="69D0577B" w:rsidR="00783776" w:rsidRPr="002B5023" w:rsidRDefault="00783776" w:rsidP="009B4E87">
            <w:pPr>
              <w:jc w:val="center"/>
              <w:rPr>
                <w:rFonts w:asciiTheme="minorHAnsi" w:hAnsiTheme="minorHAnsi" w:cstheme="minorHAnsi"/>
                <w:b/>
                <w:bCs/>
                <w:color w:val="000000"/>
                <w:sz w:val="18"/>
                <w:szCs w:val="18"/>
                <w:lang w:eastAsia="en-GB"/>
              </w:rPr>
            </w:pPr>
            <w:r w:rsidRPr="002B5023">
              <w:rPr>
                <w:rFonts w:asciiTheme="minorHAnsi" w:hAnsiTheme="minorHAnsi" w:cstheme="minorHAnsi"/>
                <w:b/>
                <w:bCs/>
                <w:sz w:val="18"/>
                <w:szCs w:val="18"/>
                <w:lang w:eastAsia="en-GB"/>
              </w:rPr>
              <w:t>2017/18</w:t>
            </w:r>
          </w:p>
        </w:tc>
        <w:tc>
          <w:tcPr>
            <w:tcW w:w="1276" w:type="dxa"/>
            <w:shd w:val="clear" w:color="auto" w:fill="D9D9D9" w:themeFill="background1" w:themeFillShade="D9"/>
            <w:noWrap/>
            <w:vAlign w:val="center"/>
            <w:hideMark/>
          </w:tcPr>
          <w:p w14:paraId="3812CC1B" w14:textId="59490F7B" w:rsidR="00783776" w:rsidRPr="002B5023" w:rsidRDefault="00783776" w:rsidP="009B4E87">
            <w:pPr>
              <w:jc w:val="center"/>
              <w:rPr>
                <w:rFonts w:asciiTheme="minorHAnsi" w:hAnsiTheme="minorHAnsi" w:cstheme="minorHAnsi"/>
                <w:b/>
                <w:bCs/>
                <w:color w:val="000000"/>
                <w:sz w:val="18"/>
                <w:szCs w:val="18"/>
                <w:lang w:eastAsia="en-GB"/>
              </w:rPr>
            </w:pPr>
            <w:r w:rsidRPr="002B5023">
              <w:rPr>
                <w:rFonts w:asciiTheme="minorHAnsi" w:hAnsiTheme="minorHAnsi" w:cstheme="minorHAnsi"/>
                <w:b/>
                <w:bCs/>
                <w:color w:val="000000"/>
                <w:sz w:val="18"/>
                <w:szCs w:val="18"/>
                <w:lang w:eastAsia="en-GB"/>
              </w:rPr>
              <w:t>4-yr Average</w:t>
            </w:r>
          </w:p>
        </w:tc>
      </w:tr>
      <w:tr w:rsidR="00783776" w:rsidRPr="00BB17CF" w14:paraId="2BA9E084" w14:textId="77777777" w:rsidTr="002B5023">
        <w:trPr>
          <w:trHeight w:val="360"/>
          <w:jc w:val="center"/>
        </w:trPr>
        <w:tc>
          <w:tcPr>
            <w:tcW w:w="2008" w:type="dxa"/>
            <w:shd w:val="clear" w:color="000000" w:fill="FFFFFF"/>
            <w:noWrap/>
            <w:vAlign w:val="center"/>
            <w:hideMark/>
          </w:tcPr>
          <w:p w14:paraId="0EBBE26F" w14:textId="77777777" w:rsidR="00783776" w:rsidRPr="002B5023" w:rsidRDefault="00783776" w:rsidP="009441DB">
            <w:pPr>
              <w:rPr>
                <w:rFonts w:asciiTheme="minorHAnsi" w:hAnsiTheme="minorHAnsi" w:cstheme="minorHAnsi"/>
                <w:sz w:val="18"/>
                <w:szCs w:val="18"/>
                <w:lang w:eastAsia="en-GB"/>
              </w:rPr>
            </w:pPr>
            <w:r w:rsidRPr="002B5023">
              <w:rPr>
                <w:rFonts w:asciiTheme="minorHAnsi" w:hAnsiTheme="minorHAnsi" w:cstheme="minorHAnsi"/>
                <w:sz w:val="18"/>
                <w:szCs w:val="18"/>
                <w:lang w:eastAsia="en-GB"/>
              </w:rPr>
              <w:t>Total Revenue</w:t>
            </w:r>
          </w:p>
        </w:tc>
        <w:tc>
          <w:tcPr>
            <w:tcW w:w="1276" w:type="dxa"/>
            <w:vAlign w:val="center"/>
          </w:tcPr>
          <w:p w14:paraId="58EA859A" w14:textId="0EFDADD7"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114,230 </w:t>
            </w:r>
          </w:p>
        </w:tc>
        <w:tc>
          <w:tcPr>
            <w:tcW w:w="1276" w:type="dxa"/>
            <w:vAlign w:val="center"/>
          </w:tcPr>
          <w:p w14:paraId="38145783" w14:textId="07B00FB9"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146,991 </w:t>
            </w:r>
          </w:p>
        </w:tc>
        <w:tc>
          <w:tcPr>
            <w:tcW w:w="1276" w:type="dxa"/>
            <w:shd w:val="clear" w:color="auto" w:fill="auto"/>
            <w:noWrap/>
            <w:vAlign w:val="center"/>
            <w:hideMark/>
          </w:tcPr>
          <w:p w14:paraId="7F6E0C03" w14:textId="7C57ACA7"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149,320 </w:t>
            </w:r>
          </w:p>
        </w:tc>
        <w:tc>
          <w:tcPr>
            <w:tcW w:w="1276" w:type="dxa"/>
            <w:vAlign w:val="center"/>
          </w:tcPr>
          <w:p w14:paraId="7110B531" w14:textId="24E3DDBF" w:rsidR="00783776" w:rsidRPr="002B5023" w:rsidRDefault="008D4C70" w:rsidP="008D4C70">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147,358</w:t>
            </w:r>
          </w:p>
        </w:tc>
        <w:tc>
          <w:tcPr>
            <w:tcW w:w="1276" w:type="dxa"/>
            <w:shd w:val="clear" w:color="auto" w:fill="auto"/>
            <w:noWrap/>
            <w:vAlign w:val="center"/>
            <w:hideMark/>
          </w:tcPr>
          <w:p w14:paraId="3BCFBD9C" w14:textId="50383638" w:rsidR="00783776" w:rsidRPr="002B5023" w:rsidRDefault="004E1041"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139,475</w:t>
            </w:r>
            <w:r w:rsidR="00783776" w:rsidRPr="002B5023">
              <w:rPr>
                <w:rFonts w:asciiTheme="minorHAnsi" w:hAnsiTheme="minorHAnsi" w:cstheme="minorHAnsi"/>
                <w:color w:val="000000" w:themeColor="text1"/>
                <w:sz w:val="18"/>
                <w:szCs w:val="18"/>
                <w:lang w:eastAsia="en-GB"/>
              </w:rPr>
              <w:t xml:space="preserve"> </w:t>
            </w:r>
          </w:p>
        </w:tc>
      </w:tr>
      <w:tr w:rsidR="00783776" w:rsidRPr="00BB17CF" w14:paraId="5415A9DC" w14:textId="77777777" w:rsidTr="002B5023">
        <w:trPr>
          <w:trHeight w:val="360"/>
          <w:jc w:val="center"/>
        </w:trPr>
        <w:tc>
          <w:tcPr>
            <w:tcW w:w="2008" w:type="dxa"/>
            <w:shd w:val="clear" w:color="000000" w:fill="FFFFFF"/>
            <w:noWrap/>
            <w:vAlign w:val="center"/>
            <w:hideMark/>
          </w:tcPr>
          <w:p w14:paraId="2F16EF70" w14:textId="77777777" w:rsidR="00783776" w:rsidRPr="002B5023" w:rsidRDefault="00783776" w:rsidP="009441DB">
            <w:pPr>
              <w:rPr>
                <w:rFonts w:asciiTheme="minorHAnsi" w:hAnsiTheme="minorHAnsi" w:cstheme="minorHAnsi"/>
                <w:sz w:val="18"/>
                <w:szCs w:val="18"/>
                <w:lang w:eastAsia="en-GB"/>
              </w:rPr>
            </w:pPr>
            <w:r w:rsidRPr="002B5023">
              <w:rPr>
                <w:rFonts w:asciiTheme="minorHAnsi" w:hAnsiTheme="minorHAnsi" w:cstheme="minorHAnsi"/>
                <w:sz w:val="18"/>
                <w:szCs w:val="18"/>
                <w:lang w:eastAsia="en-GB"/>
              </w:rPr>
              <w:t>Net Operating Profit After Tax</w:t>
            </w:r>
          </w:p>
        </w:tc>
        <w:tc>
          <w:tcPr>
            <w:tcW w:w="1276" w:type="dxa"/>
            <w:vAlign w:val="center"/>
          </w:tcPr>
          <w:p w14:paraId="1DEC5A1B" w14:textId="2C9144E5" w:rsidR="00783776" w:rsidRPr="002B5023" w:rsidRDefault="00783776" w:rsidP="009441DB">
            <w:pPr>
              <w:jc w:val="right"/>
              <w:rPr>
                <w:rFonts w:asciiTheme="minorHAnsi" w:hAnsiTheme="minorHAnsi" w:cstheme="minorHAnsi"/>
                <w:color w:val="FF0000"/>
                <w:sz w:val="18"/>
                <w:szCs w:val="18"/>
                <w:lang w:eastAsia="en-GB"/>
              </w:rPr>
            </w:pPr>
            <w:r w:rsidRPr="002B5023">
              <w:rPr>
                <w:rFonts w:asciiTheme="minorHAnsi" w:hAnsiTheme="minorHAnsi" w:cstheme="minorHAnsi"/>
                <w:color w:val="000000" w:themeColor="text1"/>
                <w:sz w:val="18"/>
                <w:szCs w:val="18"/>
                <w:lang w:eastAsia="en-GB"/>
              </w:rPr>
              <w:t xml:space="preserve">12,435 </w:t>
            </w:r>
          </w:p>
        </w:tc>
        <w:tc>
          <w:tcPr>
            <w:tcW w:w="1276" w:type="dxa"/>
            <w:vAlign w:val="center"/>
          </w:tcPr>
          <w:p w14:paraId="0F497D0D" w14:textId="78330158" w:rsidR="00783776" w:rsidRPr="002B5023" w:rsidRDefault="00783776" w:rsidP="009441DB">
            <w:pPr>
              <w:jc w:val="right"/>
              <w:rPr>
                <w:rFonts w:asciiTheme="minorHAnsi" w:hAnsiTheme="minorHAnsi" w:cstheme="minorHAnsi"/>
                <w:color w:val="FF0000"/>
                <w:sz w:val="18"/>
                <w:szCs w:val="18"/>
                <w:lang w:eastAsia="en-GB"/>
              </w:rPr>
            </w:pPr>
            <w:r w:rsidRPr="002B5023">
              <w:rPr>
                <w:rFonts w:asciiTheme="minorHAnsi" w:hAnsiTheme="minorHAnsi" w:cstheme="minorHAnsi"/>
                <w:color w:val="000000" w:themeColor="text1"/>
                <w:sz w:val="18"/>
                <w:szCs w:val="18"/>
                <w:lang w:eastAsia="en-GB"/>
              </w:rPr>
              <w:t xml:space="preserve">32,068 </w:t>
            </w:r>
          </w:p>
        </w:tc>
        <w:tc>
          <w:tcPr>
            <w:tcW w:w="1276" w:type="dxa"/>
            <w:shd w:val="clear" w:color="auto" w:fill="auto"/>
            <w:noWrap/>
            <w:vAlign w:val="center"/>
            <w:hideMark/>
          </w:tcPr>
          <w:p w14:paraId="114F1AE4" w14:textId="0EDF48F5"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35,590 </w:t>
            </w:r>
          </w:p>
        </w:tc>
        <w:tc>
          <w:tcPr>
            <w:tcW w:w="1276" w:type="dxa"/>
            <w:vAlign w:val="center"/>
          </w:tcPr>
          <w:p w14:paraId="1BFE1B99" w14:textId="54BEA707" w:rsidR="00783776" w:rsidRPr="002B5023" w:rsidRDefault="008D4C70" w:rsidP="008D4C70">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43,825</w:t>
            </w:r>
          </w:p>
        </w:tc>
        <w:tc>
          <w:tcPr>
            <w:tcW w:w="1276" w:type="dxa"/>
            <w:shd w:val="clear" w:color="auto" w:fill="auto"/>
            <w:noWrap/>
            <w:vAlign w:val="center"/>
            <w:hideMark/>
          </w:tcPr>
          <w:p w14:paraId="22C75507" w14:textId="1784E8A0" w:rsidR="00783776" w:rsidRPr="002B5023" w:rsidRDefault="004E1041"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30,980</w:t>
            </w:r>
            <w:r w:rsidR="00783776" w:rsidRPr="002B5023">
              <w:rPr>
                <w:rFonts w:asciiTheme="minorHAnsi" w:hAnsiTheme="minorHAnsi" w:cstheme="minorHAnsi"/>
                <w:color w:val="000000" w:themeColor="text1"/>
                <w:sz w:val="18"/>
                <w:szCs w:val="18"/>
                <w:lang w:eastAsia="en-GB"/>
              </w:rPr>
              <w:t xml:space="preserve"> </w:t>
            </w:r>
          </w:p>
        </w:tc>
      </w:tr>
      <w:tr w:rsidR="00783776" w:rsidRPr="00BB17CF" w14:paraId="53ED63F5" w14:textId="77777777" w:rsidTr="002B5023">
        <w:trPr>
          <w:trHeight w:val="360"/>
          <w:jc w:val="center"/>
        </w:trPr>
        <w:tc>
          <w:tcPr>
            <w:tcW w:w="2008" w:type="dxa"/>
            <w:shd w:val="clear" w:color="000000" w:fill="FFFFFF"/>
            <w:noWrap/>
            <w:vAlign w:val="center"/>
            <w:hideMark/>
          </w:tcPr>
          <w:p w14:paraId="5E223F3A" w14:textId="6F93238A" w:rsidR="00783776" w:rsidRPr="002B5023" w:rsidRDefault="00783776" w:rsidP="009441DB">
            <w:pPr>
              <w:rPr>
                <w:rFonts w:asciiTheme="minorHAnsi" w:hAnsiTheme="minorHAnsi" w:cstheme="minorHAnsi"/>
                <w:sz w:val="18"/>
                <w:szCs w:val="18"/>
                <w:lang w:eastAsia="en-GB"/>
              </w:rPr>
            </w:pPr>
            <w:r w:rsidRPr="002B5023">
              <w:rPr>
                <w:rFonts w:asciiTheme="minorHAnsi" w:hAnsiTheme="minorHAnsi" w:cstheme="minorHAnsi"/>
                <w:sz w:val="18"/>
                <w:szCs w:val="18"/>
                <w:lang w:eastAsia="en-GB"/>
              </w:rPr>
              <w:t>Capital Grants Receipts</w:t>
            </w:r>
          </w:p>
        </w:tc>
        <w:tc>
          <w:tcPr>
            <w:tcW w:w="1276" w:type="dxa"/>
            <w:vAlign w:val="center"/>
          </w:tcPr>
          <w:p w14:paraId="62E079E5" w14:textId="77777777" w:rsidR="00783776" w:rsidRPr="002B5023" w:rsidRDefault="00783776" w:rsidP="009441DB">
            <w:pPr>
              <w:jc w:val="right"/>
              <w:rPr>
                <w:rFonts w:asciiTheme="minorHAnsi" w:hAnsiTheme="minorHAnsi" w:cstheme="minorHAnsi"/>
                <w:color w:val="FF0000"/>
                <w:sz w:val="18"/>
                <w:szCs w:val="18"/>
                <w:lang w:eastAsia="en-GB"/>
              </w:rPr>
            </w:pPr>
            <w:r w:rsidRPr="002B5023">
              <w:rPr>
                <w:rFonts w:asciiTheme="minorHAnsi" w:hAnsiTheme="minorHAnsi" w:cstheme="minorHAnsi"/>
                <w:color w:val="FF0000"/>
                <w:sz w:val="18"/>
                <w:szCs w:val="18"/>
                <w:lang w:eastAsia="en-GB"/>
              </w:rPr>
              <w:t xml:space="preserve">  </w:t>
            </w:r>
          </w:p>
        </w:tc>
        <w:tc>
          <w:tcPr>
            <w:tcW w:w="1276" w:type="dxa"/>
            <w:vAlign w:val="center"/>
          </w:tcPr>
          <w:p w14:paraId="58B140A0" w14:textId="496A7E20"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77,016  </w:t>
            </w:r>
          </w:p>
        </w:tc>
        <w:tc>
          <w:tcPr>
            <w:tcW w:w="1276" w:type="dxa"/>
            <w:shd w:val="clear" w:color="auto" w:fill="auto"/>
            <w:noWrap/>
            <w:vAlign w:val="center"/>
            <w:hideMark/>
          </w:tcPr>
          <w:p w14:paraId="23090C53" w14:textId="0A8A03A2"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34,378  </w:t>
            </w:r>
          </w:p>
        </w:tc>
        <w:tc>
          <w:tcPr>
            <w:tcW w:w="1276" w:type="dxa"/>
            <w:vAlign w:val="center"/>
          </w:tcPr>
          <w:p w14:paraId="7B80D3CC" w14:textId="77777777" w:rsidR="00783776" w:rsidRPr="002B5023" w:rsidRDefault="00783776" w:rsidP="008D4C70">
            <w:pPr>
              <w:spacing w:before="120"/>
              <w:jc w:val="right"/>
              <w:rPr>
                <w:rFonts w:asciiTheme="minorHAnsi" w:hAnsiTheme="minorHAnsi" w:cstheme="minorHAnsi"/>
                <w:color w:val="FF0000"/>
                <w:sz w:val="18"/>
                <w:szCs w:val="18"/>
                <w:lang w:eastAsia="en-GB"/>
              </w:rPr>
            </w:pPr>
          </w:p>
        </w:tc>
        <w:tc>
          <w:tcPr>
            <w:tcW w:w="1276" w:type="dxa"/>
            <w:shd w:val="clear" w:color="auto" w:fill="auto"/>
            <w:noWrap/>
            <w:vAlign w:val="center"/>
            <w:hideMark/>
          </w:tcPr>
          <w:p w14:paraId="2D2A8998" w14:textId="6CDB9B52" w:rsidR="00783776" w:rsidRPr="002B5023" w:rsidRDefault="004E1041"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27,849</w:t>
            </w:r>
            <w:r w:rsidR="00783776" w:rsidRPr="002B5023">
              <w:rPr>
                <w:rFonts w:asciiTheme="minorHAnsi" w:hAnsiTheme="minorHAnsi" w:cstheme="minorHAnsi"/>
                <w:color w:val="000000" w:themeColor="text1"/>
                <w:sz w:val="18"/>
                <w:szCs w:val="18"/>
                <w:lang w:eastAsia="en-GB"/>
              </w:rPr>
              <w:t xml:space="preserve"> </w:t>
            </w:r>
          </w:p>
        </w:tc>
      </w:tr>
      <w:tr w:rsidR="00783776" w:rsidRPr="00BB17CF" w14:paraId="44742B63" w14:textId="77777777" w:rsidTr="002B5023">
        <w:trPr>
          <w:trHeight w:val="360"/>
          <w:jc w:val="center"/>
        </w:trPr>
        <w:tc>
          <w:tcPr>
            <w:tcW w:w="2008" w:type="dxa"/>
            <w:shd w:val="clear" w:color="000000" w:fill="FFFFFF"/>
            <w:noWrap/>
            <w:vAlign w:val="center"/>
            <w:hideMark/>
          </w:tcPr>
          <w:p w14:paraId="5520A2BE" w14:textId="77777777" w:rsidR="00783776" w:rsidRPr="002B5023" w:rsidRDefault="00783776" w:rsidP="009441DB">
            <w:pPr>
              <w:rPr>
                <w:rFonts w:asciiTheme="minorHAnsi" w:hAnsiTheme="minorHAnsi" w:cstheme="minorHAnsi"/>
                <w:sz w:val="18"/>
                <w:szCs w:val="18"/>
                <w:lang w:eastAsia="en-GB"/>
              </w:rPr>
            </w:pPr>
            <w:r w:rsidRPr="002B5023">
              <w:rPr>
                <w:rFonts w:asciiTheme="minorHAnsi" w:hAnsiTheme="minorHAnsi" w:cstheme="minorHAnsi"/>
                <w:sz w:val="18"/>
                <w:szCs w:val="18"/>
                <w:lang w:eastAsia="en-GB"/>
              </w:rPr>
              <w:t>Total Assets</w:t>
            </w:r>
          </w:p>
        </w:tc>
        <w:tc>
          <w:tcPr>
            <w:tcW w:w="1276" w:type="dxa"/>
            <w:vAlign w:val="center"/>
          </w:tcPr>
          <w:p w14:paraId="60102CB6" w14:textId="3EC2A0BD"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921,035 </w:t>
            </w:r>
          </w:p>
        </w:tc>
        <w:tc>
          <w:tcPr>
            <w:tcW w:w="1276" w:type="dxa"/>
            <w:vAlign w:val="center"/>
          </w:tcPr>
          <w:p w14:paraId="67902C37" w14:textId="35053F9A"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1,197,388 </w:t>
            </w:r>
          </w:p>
        </w:tc>
        <w:tc>
          <w:tcPr>
            <w:tcW w:w="1276" w:type="dxa"/>
            <w:shd w:val="clear" w:color="auto" w:fill="auto"/>
            <w:noWrap/>
            <w:vAlign w:val="center"/>
          </w:tcPr>
          <w:p w14:paraId="20FD1B9D" w14:textId="7F4B009B"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1,310,336 </w:t>
            </w:r>
          </w:p>
        </w:tc>
        <w:tc>
          <w:tcPr>
            <w:tcW w:w="1276" w:type="dxa"/>
            <w:vAlign w:val="center"/>
          </w:tcPr>
          <w:p w14:paraId="721848B9" w14:textId="263C9D21" w:rsidR="00783776" w:rsidRPr="002B5023" w:rsidRDefault="001A626C" w:rsidP="008D4C70">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1,373,894</w:t>
            </w:r>
          </w:p>
        </w:tc>
        <w:tc>
          <w:tcPr>
            <w:tcW w:w="1276" w:type="dxa"/>
            <w:shd w:val="clear" w:color="auto" w:fill="auto"/>
            <w:noWrap/>
            <w:vAlign w:val="center"/>
            <w:hideMark/>
          </w:tcPr>
          <w:p w14:paraId="29192383" w14:textId="60DCF347" w:rsidR="00783776" w:rsidRPr="002B5023" w:rsidRDefault="004E1041"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1,200,663</w:t>
            </w:r>
            <w:r w:rsidR="00783776" w:rsidRPr="002B5023">
              <w:rPr>
                <w:rFonts w:asciiTheme="minorHAnsi" w:hAnsiTheme="minorHAnsi" w:cstheme="minorHAnsi"/>
                <w:color w:val="000000" w:themeColor="text1"/>
                <w:sz w:val="18"/>
                <w:szCs w:val="18"/>
                <w:lang w:eastAsia="en-GB"/>
              </w:rPr>
              <w:t xml:space="preserve"> </w:t>
            </w:r>
          </w:p>
        </w:tc>
      </w:tr>
      <w:tr w:rsidR="00783776" w:rsidRPr="00BB17CF" w14:paraId="6DAFA656" w14:textId="77777777" w:rsidTr="002B5023">
        <w:trPr>
          <w:trHeight w:val="360"/>
          <w:jc w:val="center"/>
        </w:trPr>
        <w:tc>
          <w:tcPr>
            <w:tcW w:w="2008" w:type="dxa"/>
            <w:shd w:val="clear" w:color="000000" w:fill="FFFFFF"/>
            <w:noWrap/>
            <w:vAlign w:val="center"/>
            <w:hideMark/>
          </w:tcPr>
          <w:p w14:paraId="37B143CA" w14:textId="77777777" w:rsidR="00783776" w:rsidRPr="002B5023" w:rsidRDefault="00783776" w:rsidP="009441DB">
            <w:pPr>
              <w:rPr>
                <w:rFonts w:asciiTheme="minorHAnsi" w:hAnsiTheme="minorHAnsi" w:cstheme="minorHAnsi"/>
                <w:sz w:val="18"/>
                <w:szCs w:val="18"/>
                <w:lang w:eastAsia="en-GB"/>
              </w:rPr>
            </w:pPr>
            <w:r w:rsidRPr="002B5023">
              <w:rPr>
                <w:rFonts w:asciiTheme="minorHAnsi" w:hAnsiTheme="minorHAnsi" w:cstheme="minorHAnsi"/>
                <w:sz w:val="18"/>
                <w:szCs w:val="18"/>
                <w:lang w:eastAsia="en-GB"/>
              </w:rPr>
              <w:t>Total Liabilities</w:t>
            </w:r>
          </w:p>
        </w:tc>
        <w:tc>
          <w:tcPr>
            <w:tcW w:w="1276" w:type="dxa"/>
            <w:vAlign w:val="center"/>
          </w:tcPr>
          <w:p w14:paraId="26827985" w14:textId="6586AB7C"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178,744 </w:t>
            </w:r>
          </w:p>
        </w:tc>
        <w:tc>
          <w:tcPr>
            <w:tcW w:w="1276" w:type="dxa"/>
            <w:vAlign w:val="center"/>
          </w:tcPr>
          <w:p w14:paraId="767CB4AF" w14:textId="02A4EDB3"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319,597 </w:t>
            </w:r>
          </w:p>
        </w:tc>
        <w:tc>
          <w:tcPr>
            <w:tcW w:w="1276" w:type="dxa"/>
            <w:shd w:val="clear" w:color="auto" w:fill="auto"/>
            <w:noWrap/>
            <w:vAlign w:val="center"/>
          </w:tcPr>
          <w:p w14:paraId="292CA7D2" w14:textId="0B268791"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318,194 </w:t>
            </w:r>
          </w:p>
        </w:tc>
        <w:tc>
          <w:tcPr>
            <w:tcW w:w="1276" w:type="dxa"/>
            <w:vAlign w:val="center"/>
          </w:tcPr>
          <w:p w14:paraId="3A495C59" w14:textId="7E64D31A" w:rsidR="00783776" w:rsidRPr="002B5023" w:rsidRDefault="001A626C" w:rsidP="008D4C70">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302,938</w:t>
            </w:r>
          </w:p>
        </w:tc>
        <w:tc>
          <w:tcPr>
            <w:tcW w:w="1276" w:type="dxa"/>
            <w:shd w:val="clear" w:color="auto" w:fill="auto"/>
            <w:noWrap/>
            <w:vAlign w:val="center"/>
            <w:hideMark/>
          </w:tcPr>
          <w:p w14:paraId="312EDBB6" w14:textId="176DCAA1" w:rsidR="00783776" w:rsidRPr="002B5023" w:rsidRDefault="004E1041"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279,868</w:t>
            </w:r>
            <w:r w:rsidR="00783776" w:rsidRPr="002B5023">
              <w:rPr>
                <w:rFonts w:asciiTheme="minorHAnsi" w:hAnsiTheme="minorHAnsi" w:cstheme="minorHAnsi"/>
                <w:color w:val="000000" w:themeColor="text1"/>
                <w:sz w:val="18"/>
                <w:szCs w:val="18"/>
                <w:lang w:eastAsia="en-GB"/>
              </w:rPr>
              <w:t xml:space="preserve"> </w:t>
            </w:r>
          </w:p>
        </w:tc>
      </w:tr>
      <w:tr w:rsidR="00783776" w:rsidRPr="00BB17CF" w14:paraId="5A49676E" w14:textId="77777777" w:rsidTr="002B5023">
        <w:trPr>
          <w:trHeight w:val="360"/>
          <w:jc w:val="center"/>
        </w:trPr>
        <w:tc>
          <w:tcPr>
            <w:tcW w:w="2008" w:type="dxa"/>
            <w:shd w:val="clear" w:color="000000" w:fill="FFFFFF"/>
            <w:noWrap/>
            <w:vAlign w:val="center"/>
            <w:hideMark/>
          </w:tcPr>
          <w:p w14:paraId="068D2D8D" w14:textId="77777777" w:rsidR="00783776" w:rsidRPr="002B5023" w:rsidRDefault="00783776" w:rsidP="009441DB">
            <w:pPr>
              <w:rPr>
                <w:rFonts w:asciiTheme="minorHAnsi" w:hAnsiTheme="minorHAnsi" w:cstheme="minorHAnsi"/>
                <w:sz w:val="18"/>
                <w:szCs w:val="18"/>
                <w:lang w:eastAsia="en-GB"/>
              </w:rPr>
            </w:pPr>
            <w:r w:rsidRPr="002B5023">
              <w:rPr>
                <w:rFonts w:asciiTheme="minorHAnsi" w:hAnsiTheme="minorHAnsi" w:cstheme="minorHAnsi"/>
                <w:sz w:val="18"/>
                <w:szCs w:val="18"/>
                <w:lang w:eastAsia="en-GB"/>
              </w:rPr>
              <w:t>Shareholders' Funds</w:t>
            </w:r>
          </w:p>
        </w:tc>
        <w:tc>
          <w:tcPr>
            <w:tcW w:w="1276" w:type="dxa"/>
            <w:vAlign w:val="center"/>
          </w:tcPr>
          <w:p w14:paraId="71193AE2" w14:textId="63BB9726" w:rsidR="00783776" w:rsidRPr="002B5023" w:rsidRDefault="00783776" w:rsidP="009441DB">
            <w:pPr>
              <w:jc w:val="right"/>
              <w:rPr>
                <w:rFonts w:asciiTheme="minorHAnsi" w:hAnsiTheme="minorHAnsi" w:cstheme="minorHAnsi"/>
                <w:color w:val="FF0000"/>
                <w:sz w:val="18"/>
                <w:szCs w:val="18"/>
                <w:lang w:eastAsia="en-GB"/>
              </w:rPr>
            </w:pPr>
            <w:r w:rsidRPr="002B5023">
              <w:rPr>
                <w:rFonts w:asciiTheme="minorHAnsi" w:hAnsiTheme="minorHAnsi" w:cstheme="minorHAnsi"/>
                <w:color w:val="000000" w:themeColor="text1"/>
                <w:sz w:val="18"/>
                <w:szCs w:val="18"/>
                <w:lang w:eastAsia="en-GB"/>
              </w:rPr>
              <w:t xml:space="preserve">742,291 </w:t>
            </w:r>
          </w:p>
        </w:tc>
        <w:tc>
          <w:tcPr>
            <w:tcW w:w="1276" w:type="dxa"/>
            <w:vAlign w:val="center"/>
          </w:tcPr>
          <w:p w14:paraId="6FF4E6EF" w14:textId="6E7A6EF5" w:rsidR="00783776" w:rsidRPr="002B5023" w:rsidRDefault="00783776" w:rsidP="009441DB">
            <w:pPr>
              <w:jc w:val="right"/>
              <w:rPr>
                <w:rFonts w:asciiTheme="minorHAnsi" w:hAnsiTheme="minorHAnsi" w:cstheme="minorHAnsi"/>
                <w:color w:val="FF0000"/>
                <w:sz w:val="18"/>
                <w:szCs w:val="18"/>
                <w:lang w:eastAsia="en-GB"/>
              </w:rPr>
            </w:pPr>
            <w:r w:rsidRPr="002B5023">
              <w:rPr>
                <w:rFonts w:asciiTheme="minorHAnsi" w:hAnsiTheme="minorHAnsi" w:cstheme="minorHAnsi"/>
                <w:color w:val="000000" w:themeColor="text1"/>
                <w:sz w:val="18"/>
                <w:szCs w:val="18"/>
                <w:lang w:eastAsia="en-GB"/>
              </w:rPr>
              <w:t xml:space="preserve">877,791 </w:t>
            </w:r>
          </w:p>
        </w:tc>
        <w:tc>
          <w:tcPr>
            <w:tcW w:w="1276" w:type="dxa"/>
            <w:shd w:val="clear" w:color="auto" w:fill="auto"/>
            <w:noWrap/>
            <w:vAlign w:val="center"/>
          </w:tcPr>
          <w:p w14:paraId="214C6253" w14:textId="2AAE152F"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992,142 </w:t>
            </w:r>
          </w:p>
        </w:tc>
        <w:tc>
          <w:tcPr>
            <w:tcW w:w="1276" w:type="dxa"/>
            <w:vAlign w:val="center"/>
          </w:tcPr>
          <w:p w14:paraId="67FCACFD" w14:textId="09F8A7EC" w:rsidR="00783776" w:rsidRPr="002B5023" w:rsidRDefault="001A626C" w:rsidP="008D4C70">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1,070,956</w:t>
            </w:r>
          </w:p>
        </w:tc>
        <w:tc>
          <w:tcPr>
            <w:tcW w:w="1276" w:type="dxa"/>
            <w:shd w:val="clear" w:color="auto" w:fill="auto"/>
            <w:noWrap/>
            <w:vAlign w:val="center"/>
            <w:hideMark/>
          </w:tcPr>
          <w:p w14:paraId="0A64DB9A" w14:textId="6A03422D" w:rsidR="00783776" w:rsidRPr="002B5023" w:rsidRDefault="004E1041"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920,795</w:t>
            </w:r>
            <w:r w:rsidR="00783776" w:rsidRPr="002B5023">
              <w:rPr>
                <w:rFonts w:asciiTheme="minorHAnsi" w:hAnsiTheme="minorHAnsi" w:cstheme="minorHAnsi"/>
                <w:color w:val="000000" w:themeColor="text1"/>
                <w:sz w:val="18"/>
                <w:szCs w:val="18"/>
                <w:lang w:eastAsia="en-GB"/>
              </w:rPr>
              <w:t xml:space="preserve"> </w:t>
            </w:r>
          </w:p>
        </w:tc>
      </w:tr>
      <w:tr w:rsidR="00783776" w:rsidRPr="00BB17CF" w14:paraId="2CB69BDB" w14:textId="77777777" w:rsidTr="002B5023">
        <w:trPr>
          <w:trHeight w:val="360"/>
          <w:jc w:val="center"/>
        </w:trPr>
        <w:tc>
          <w:tcPr>
            <w:tcW w:w="2008" w:type="dxa"/>
            <w:shd w:val="clear" w:color="000000" w:fill="FFFFFF"/>
            <w:noWrap/>
            <w:vAlign w:val="center"/>
          </w:tcPr>
          <w:p w14:paraId="4D11C18C" w14:textId="77777777" w:rsidR="00783776" w:rsidRPr="002B5023" w:rsidRDefault="00783776" w:rsidP="009441DB">
            <w:pPr>
              <w:rPr>
                <w:rFonts w:asciiTheme="minorHAnsi" w:hAnsiTheme="minorHAnsi" w:cstheme="minorHAnsi"/>
                <w:sz w:val="18"/>
                <w:szCs w:val="18"/>
                <w:lang w:eastAsia="en-GB"/>
              </w:rPr>
            </w:pPr>
            <w:r w:rsidRPr="002B5023">
              <w:rPr>
                <w:rFonts w:asciiTheme="minorHAnsi" w:hAnsiTheme="minorHAnsi" w:cstheme="minorHAnsi"/>
                <w:sz w:val="18"/>
                <w:szCs w:val="18"/>
                <w:lang w:eastAsia="en-GB"/>
              </w:rPr>
              <w:t>EBITDA %</w:t>
            </w:r>
          </w:p>
        </w:tc>
        <w:tc>
          <w:tcPr>
            <w:tcW w:w="1276" w:type="dxa"/>
            <w:vAlign w:val="center"/>
          </w:tcPr>
          <w:p w14:paraId="3D3B08DA" w14:textId="5D4148C3"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19% </w:t>
            </w:r>
          </w:p>
        </w:tc>
        <w:tc>
          <w:tcPr>
            <w:tcW w:w="1276" w:type="dxa"/>
            <w:vAlign w:val="center"/>
          </w:tcPr>
          <w:p w14:paraId="1CCF69BD" w14:textId="438289CF"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26% </w:t>
            </w:r>
          </w:p>
        </w:tc>
        <w:tc>
          <w:tcPr>
            <w:tcW w:w="1276" w:type="dxa"/>
            <w:shd w:val="clear" w:color="auto" w:fill="auto"/>
            <w:noWrap/>
            <w:vAlign w:val="center"/>
          </w:tcPr>
          <w:p w14:paraId="5C1849A1" w14:textId="3F121B41"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25% </w:t>
            </w:r>
          </w:p>
        </w:tc>
        <w:tc>
          <w:tcPr>
            <w:tcW w:w="1276" w:type="dxa"/>
            <w:vAlign w:val="center"/>
          </w:tcPr>
          <w:p w14:paraId="0E77A60C" w14:textId="234EAF06" w:rsidR="00783776" w:rsidRPr="002B5023" w:rsidRDefault="001A626C" w:rsidP="008D4C70">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31%</w:t>
            </w:r>
          </w:p>
        </w:tc>
        <w:tc>
          <w:tcPr>
            <w:tcW w:w="1276" w:type="dxa"/>
            <w:shd w:val="clear" w:color="auto" w:fill="auto"/>
            <w:noWrap/>
            <w:vAlign w:val="center"/>
          </w:tcPr>
          <w:p w14:paraId="2ACD9AC1" w14:textId="1A0EA153" w:rsidR="00783776" w:rsidRPr="002B5023" w:rsidRDefault="004E1041"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25.25</w:t>
            </w:r>
            <w:r w:rsidR="00783776" w:rsidRPr="002B5023">
              <w:rPr>
                <w:rFonts w:asciiTheme="minorHAnsi" w:hAnsiTheme="minorHAnsi" w:cstheme="minorHAnsi"/>
                <w:color w:val="000000" w:themeColor="text1"/>
                <w:sz w:val="18"/>
                <w:szCs w:val="18"/>
                <w:lang w:eastAsia="en-GB"/>
              </w:rPr>
              <w:t>%</w:t>
            </w:r>
          </w:p>
        </w:tc>
      </w:tr>
      <w:tr w:rsidR="00783776" w:rsidRPr="00BB17CF" w14:paraId="3C18658F" w14:textId="77777777" w:rsidTr="002B5023">
        <w:trPr>
          <w:trHeight w:val="360"/>
          <w:jc w:val="center"/>
        </w:trPr>
        <w:tc>
          <w:tcPr>
            <w:tcW w:w="2008" w:type="dxa"/>
            <w:shd w:val="clear" w:color="000000" w:fill="FFFFFF"/>
            <w:noWrap/>
            <w:vAlign w:val="center"/>
          </w:tcPr>
          <w:p w14:paraId="7485EDCF" w14:textId="77777777" w:rsidR="00783776" w:rsidRPr="002B5023" w:rsidRDefault="00783776" w:rsidP="009441DB">
            <w:pPr>
              <w:rPr>
                <w:rFonts w:asciiTheme="minorHAnsi" w:hAnsiTheme="minorHAnsi" w:cstheme="minorHAnsi"/>
                <w:sz w:val="18"/>
                <w:szCs w:val="18"/>
                <w:lang w:eastAsia="en-GB"/>
              </w:rPr>
            </w:pPr>
            <w:r w:rsidRPr="002B5023">
              <w:rPr>
                <w:rFonts w:asciiTheme="minorHAnsi" w:hAnsiTheme="minorHAnsi" w:cstheme="minorHAnsi"/>
                <w:sz w:val="18"/>
                <w:szCs w:val="18"/>
                <w:lang w:eastAsia="en-GB"/>
              </w:rPr>
              <w:t>NOPAT %</w:t>
            </w:r>
          </w:p>
        </w:tc>
        <w:tc>
          <w:tcPr>
            <w:tcW w:w="1276" w:type="dxa"/>
            <w:vAlign w:val="center"/>
          </w:tcPr>
          <w:p w14:paraId="51010274" w14:textId="774972C2"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10.9% </w:t>
            </w:r>
          </w:p>
        </w:tc>
        <w:tc>
          <w:tcPr>
            <w:tcW w:w="1276" w:type="dxa"/>
            <w:vAlign w:val="center"/>
          </w:tcPr>
          <w:p w14:paraId="2EC7F77B" w14:textId="68D30A8C"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21.8% </w:t>
            </w:r>
          </w:p>
        </w:tc>
        <w:tc>
          <w:tcPr>
            <w:tcW w:w="1276" w:type="dxa"/>
            <w:shd w:val="clear" w:color="auto" w:fill="auto"/>
            <w:noWrap/>
            <w:vAlign w:val="center"/>
          </w:tcPr>
          <w:p w14:paraId="486DED45" w14:textId="24AC601E"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23.8% </w:t>
            </w:r>
          </w:p>
        </w:tc>
        <w:tc>
          <w:tcPr>
            <w:tcW w:w="1276" w:type="dxa"/>
            <w:vAlign w:val="center"/>
          </w:tcPr>
          <w:p w14:paraId="24905C79" w14:textId="1C9D4C0E" w:rsidR="00783776" w:rsidRPr="002B5023" w:rsidRDefault="001A626C" w:rsidP="008D4C70">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29.7%</w:t>
            </w:r>
          </w:p>
        </w:tc>
        <w:tc>
          <w:tcPr>
            <w:tcW w:w="1276" w:type="dxa"/>
            <w:shd w:val="clear" w:color="auto" w:fill="auto"/>
            <w:noWrap/>
            <w:vAlign w:val="center"/>
          </w:tcPr>
          <w:p w14:paraId="3C3443C3" w14:textId="3E4FB2FC" w:rsidR="00783776" w:rsidRPr="002B5023" w:rsidRDefault="004E1041"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21.55</w:t>
            </w:r>
            <w:r w:rsidR="00783776" w:rsidRPr="002B5023">
              <w:rPr>
                <w:rFonts w:asciiTheme="minorHAnsi" w:hAnsiTheme="minorHAnsi" w:cstheme="minorHAnsi"/>
                <w:color w:val="000000" w:themeColor="text1"/>
                <w:sz w:val="18"/>
                <w:szCs w:val="18"/>
                <w:lang w:eastAsia="en-GB"/>
              </w:rPr>
              <w:t>%</w:t>
            </w:r>
          </w:p>
        </w:tc>
      </w:tr>
      <w:tr w:rsidR="00783776" w:rsidRPr="00BB17CF" w14:paraId="7E0371D0" w14:textId="77777777" w:rsidTr="002B5023">
        <w:trPr>
          <w:trHeight w:val="360"/>
          <w:jc w:val="center"/>
        </w:trPr>
        <w:tc>
          <w:tcPr>
            <w:tcW w:w="2008" w:type="dxa"/>
            <w:shd w:val="clear" w:color="000000" w:fill="FFFFFF"/>
            <w:noWrap/>
            <w:vAlign w:val="center"/>
            <w:hideMark/>
          </w:tcPr>
          <w:p w14:paraId="0EFCF100" w14:textId="77777777" w:rsidR="00783776" w:rsidRPr="002B5023" w:rsidRDefault="00783776" w:rsidP="009441DB">
            <w:pPr>
              <w:rPr>
                <w:rFonts w:asciiTheme="minorHAnsi" w:hAnsiTheme="minorHAnsi" w:cstheme="minorHAnsi"/>
                <w:sz w:val="18"/>
                <w:szCs w:val="18"/>
                <w:lang w:eastAsia="en-GB"/>
              </w:rPr>
            </w:pPr>
            <w:r w:rsidRPr="002B5023">
              <w:rPr>
                <w:rFonts w:asciiTheme="minorHAnsi" w:hAnsiTheme="minorHAnsi" w:cstheme="minorHAnsi"/>
                <w:sz w:val="18"/>
                <w:szCs w:val="18"/>
                <w:lang w:eastAsia="en-GB"/>
              </w:rPr>
              <w:t>ROE %</w:t>
            </w:r>
          </w:p>
        </w:tc>
        <w:tc>
          <w:tcPr>
            <w:tcW w:w="1276" w:type="dxa"/>
            <w:vAlign w:val="center"/>
          </w:tcPr>
          <w:p w14:paraId="18B63C82" w14:textId="3845CD82"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1.7% </w:t>
            </w:r>
          </w:p>
        </w:tc>
        <w:tc>
          <w:tcPr>
            <w:tcW w:w="1276" w:type="dxa"/>
            <w:vAlign w:val="center"/>
          </w:tcPr>
          <w:p w14:paraId="223C00D9" w14:textId="4C58249B"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3.7% </w:t>
            </w:r>
          </w:p>
        </w:tc>
        <w:tc>
          <w:tcPr>
            <w:tcW w:w="1276" w:type="dxa"/>
            <w:shd w:val="clear" w:color="auto" w:fill="auto"/>
            <w:noWrap/>
            <w:vAlign w:val="center"/>
          </w:tcPr>
          <w:p w14:paraId="72F95274" w14:textId="401D8CE5"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3.6%  </w:t>
            </w:r>
          </w:p>
        </w:tc>
        <w:tc>
          <w:tcPr>
            <w:tcW w:w="1276" w:type="dxa"/>
            <w:vAlign w:val="center"/>
          </w:tcPr>
          <w:p w14:paraId="78D0D2DC" w14:textId="597B6484" w:rsidR="00783776" w:rsidRPr="002B5023" w:rsidRDefault="001A626C" w:rsidP="008D4C70">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4.1%</w:t>
            </w:r>
          </w:p>
        </w:tc>
        <w:tc>
          <w:tcPr>
            <w:tcW w:w="1276" w:type="dxa"/>
            <w:shd w:val="clear" w:color="auto" w:fill="auto"/>
            <w:noWrap/>
            <w:vAlign w:val="center"/>
            <w:hideMark/>
          </w:tcPr>
          <w:p w14:paraId="61DD333C" w14:textId="1292527A" w:rsidR="00783776" w:rsidRPr="002B5023" w:rsidRDefault="004E1041"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3.3</w:t>
            </w:r>
            <w:r w:rsidR="00783776" w:rsidRPr="002B5023">
              <w:rPr>
                <w:rFonts w:asciiTheme="minorHAnsi" w:hAnsiTheme="minorHAnsi" w:cstheme="minorHAnsi"/>
                <w:color w:val="000000" w:themeColor="text1"/>
                <w:sz w:val="18"/>
                <w:szCs w:val="18"/>
                <w:lang w:eastAsia="en-GB"/>
              </w:rPr>
              <w:t xml:space="preserve"> </w:t>
            </w:r>
          </w:p>
        </w:tc>
      </w:tr>
      <w:tr w:rsidR="00783776" w:rsidRPr="00BB17CF" w14:paraId="67BC8C71" w14:textId="77777777" w:rsidTr="002B5023">
        <w:trPr>
          <w:trHeight w:val="360"/>
          <w:jc w:val="center"/>
        </w:trPr>
        <w:tc>
          <w:tcPr>
            <w:tcW w:w="2008" w:type="dxa"/>
            <w:shd w:val="clear" w:color="000000" w:fill="FFFFFF"/>
            <w:noWrap/>
            <w:vAlign w:val="center"/>
            <w:hideMark/>
          </w:tcPr>
          <w:p w14:paraId="653243C7" w14:textId="77777777" w:rsidR="00783776" w:rsidRPr="002B5023" w:rsidRDefault="00783776" w:rsidP="009441DB">
            <w:pPr>
              <w:rPr>
                <w:rFonts w:asciiTheme="minorHAnsi" w:hAnsiTheme="minorHAnsi" w:cstheme="minorHAnsi"/>
                <w:sz w:val="18"/>
                <w:szCs w:val="18"/>
                <w:lang w:eastAsia="en-GB"/>
              </w:rPr>
            </w:pPr>
            <w:r w:rsidRPr="002B5023">
              <w:rPr>
                <w:rFonts w:asciiTheme="minorHAnsi" w:hAnsiTheme="minorHAnsi" w:cstheme="minorHAnsi"/>
                <w:sz w:val="18"/>
                <w:szCs w:val="18"/>
                <w:lang w:eastAsia="en-GB"/>
              </w:rPr>
              <w:t>ROA %</w:t>
            </w:r>
          </w:p>
        </w:tc>
        <w:tc>
          <w:tcPr>
            <w:tcW w:w="1276" w:type="dxa"/>
            <w:vAlign w:val="center"/>
          </w:tcPr>
          <w:p w14:paraId="545F1603" w14:textId="60189EA0" w:rsidR="00783776" w:rsidRPr="002B5023" w:rsidRDefault="00783776" w:rsidP="009441DB">
            <w:pPr>
              <w:jc w:val="right"/>
              <w:rPr>
                <w:rFonts w:asciiTheme="minorHAnsi" w:hAnsiTheme="minorHAnsi" w:cstheme="minorHAnsi"/>
                <w:color w:val="FF0000"/>
                <w:sz w:val="18"/>
                <w:szCs w:val="18"/>
                <w:lang w:eastAsia="en-GB"/>
              </w:rPr>
            </w:pPr>
            <w:r w:rsidRPr="002B5023">
              <w:rPr>
                <w:rFonts w:asciiTheme="minorHAnsi" w:hAnsiTheme="minorHAnsi" w:cstheme="minorHAnsi"/>
                <w:color w:val="000000" w:themeColor="text1"/>
                <w:sz w:val="18"/>
                <w:szCs w:val="18"/>
                <w:lang w:eastAsia="en-GB"/>
              </w:rPr>
              <w:t>1.4%</w:t>
            </w:r>
          </w:p>
        </w:tc>
        <w:tc>
          <w:tcPr>
            <w:tcW w:w="1276" w:type="dxa"/>
            <w:vAlign w:val="center"/>
          </w:tcPr>
          <w:p w14:paraId="5EDC606F" w14:textId="6E45D25D" w:rsidR="00783776" w:rsidRPr="002B5023" w:rsidRDefault="00783776" w:rsidP="009441DB">
            <w:pPr>
              <w:jc w:val="right"/>
              <w:rPr>
                <w:rFonts w:asciiTheme="minorHAnsi" w:hAnsiTheme="minorHAnsi" w:cstheme="minorHAnsi"/>
                <w:color w:val="FF0000"/>
                <w:sz w:val="18"/>
                <w:szCs w:val="18"/>
                <w:lang w:eastAsia="en-GB"/>
              </w:rPr>
            </w:pPr>
            <w:r w:rsidRPr="002B5023">
              <w:rPr>
                <w:rFonts w:asciiTheme="minorHAnsi" w:hAnsiTheme="minorHAnsi" w:cstheme="minorHAnsi"/>
                <w:color w:val="000000" w:themeColor="text1"/>
                <w:sz w:val="18"/>
                <w:szCs w:val="18"/>
                <w:lang w:eastAsia="en-GB"/>
              </w:rPr>
              <w:t xml:space="preserve">2.7% </w:t>
            </w:r>
          </w:p>
        </w:tc>
        <w:tc>
          <w:tcPr>
            <w:tcW w:w="1276" w:type="dxa"/>
            <w:shd w:val="clear" w:color="auto" w:fill="auto"/>
            <w:noWrap/>
            <w:vAlign w:val="center"/>
          </w:tcPr>
          <w:p w14:paraId="476C5904" w14:textId="4A83F149"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2.7% </w:t>
            </w:r>
          </w:p>
        </w:tc>
        <w:tc>
          <w:tcPr>
            <w:tcW w:w="1276" w:type="dxa"/>
            <w:vAlign w:val="center"/>
          </w:tcPr>
          <w:p w14:paraId="02573A2B" w14:textId="6DCBF4F7" w:rsidR="00783776" w:rsidRPr="002B5023" w:rsidRDefault="001A626C" w:rsidP="008D4C70">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3.2%</w:t>
            </w:r>
          </w:p>
        </w:tc>
        <w:tc>
          <w:tcPr>
            <w:tcW w:w="1276" w:type="dxa"/>
            <w:shd w:val="clear" w:color="auto" w:fill="auto"/>
            <w:noWrap/>
            <w:vAlign w:val="center"/>
            <w:hideMark/>
          </w:tcPr>
          <w:p w14:paraId="229FCE5D" w14:textId="1272DF80" w:rsidR="00783776" w:rsidRPr="002B5023" w:rsidRDefault="004E1041"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2.5</w:t>
            </w:r>
            <w:r w:rsidR="00783776" w:rsidRPr="002B5023">
              <w:rPr>
                <w:rFonts w:asciiTheme="minorHAnsi" w:hAnsiTheme="minorHAnsi" w:cstheme="minorHAnsi"/>
                <w:color w:val="000000" w:themeColor="text1"/>
                <w:sz w:val="18"/>
                <w:szCs w:val="18"/>
                <w:lang w:eastAsia="en-GB"/>
              </w:rPr>
              <w:t xml:space="preserve">% </w:t>
            </w:r>
          </w:p>
        </w:tc>
      </w:tr>
      <w:tr w:rsidR="00783776" w:rsidRPr="00BB17CF" w14:paraId="68535733" w14:textId="77777777" w:rsidTr="002B5023">
        <w:trPr>
          <w:trHeight w:val="360"/>
          <w:jc w:val="center"/>
        </w:trPr>
        <w:tc>
          <w:tcPr>
            <w:tcW w:w="2008" w:type="dxa"/>
            <w:shd w:val="clear" w:color="000000" w:fill="FFFFFF"/>
            <w:noWrap/>
            <w:vAlign w:val="center"/>
          </w:tcPr>
          <w:p w14:paraId="4764AFE7" w14:textId="77777777" w:rsidR="00783776" w:rsidRPr="002B5023" w:rsidRDefault="00783776" w:rsidP="009441DB">
            <w:pPr>
              <w:rPr>
                <w:rFonts w:asciiTheme="minorHAnsi" w:hAnsiTheme="minorHAnsi" w:cstheme="minorHAnsi"/>
                <w:sz w:val="18"/>
                <w:szCs w:val="18"/>
                <w:lang w:eastAsia="en-GB"/>
              </w:rPr>
            </w:pPr>
            <w:r w:rsidRPr="002B5023">
              <w:rPr>
                <w:rFonts w:asciiTheme="minorHAnsi" w:hAnsiTheme="minorHAnsi" w:cstheme="minorHAnsi"/>
                <w:sz w:val="18"/>
                <w:szCs w:val="18"/>
                <w:lang w:eastAsia="en-GB"/>
              </w:rPr>
              <w:t>Current Assets / Current liabilities</w:t>
            </w:r>
          </w:p>
        </w:tc>
        <w:tc>
          <w:tcPr>
            <w:tcW w:w="1276" w:type="dxa"/>
            <w:vAlign w:val="center"/>
          </w:tcPr>
          <w:p w14:paraId="7CBD1D7C" w14:textId="373BE3D8"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0.79 </w:t>
            </w:r>
          </w:p>
        </w:tc>
        <w:tc>
          <w:tcPr>
            <w:tcW w:w="1276" w:type="dxa"/>
            <w:vAlign w:val="center"/>
          </w:tcPr>
          <w:p w14:paraId="7E2125D0" w14:textId="1A3BB908"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5.62 </w:t>
            </w:r>
          </w:p>
        </w:tc>
        <w:tc>
          <w:tcPr>
            <w:tcW w:w="1276" w:type="dxa"/>
            <w:shd w:val="clear" w:color="auto" w:fill="auto"/>
            <w:noWrap/>
            <w:vAlign w:val="center"/>
          </w:tcPr>
          <w:p w14:paraId="58B4A1DC" w14:textId="18FE1470"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5.24  </w:t>
            </w:r>
          </w:p>
        </w:tc>
        <w:tc>
          <w:tcPr>
            <w:tcW w:w="1276" w:type="dxa"/>
            <w:vAlign w:val="center"/>
          </w:tcPr>
          <w:p w14:paraId="4892A59F" w14:textId="493C0E34" w:rsidR="00783776" w:rsidRPr="002B5023" w:rsidRDefault="00813BDD" w:rsidP="008D4C70">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7.07</w:t>
            </w:r>
          </w:p>
        </w:tc>
        <w:tc>
          <w:tcPr>
            <w:tcW w:w="1276" w:type="dxa"/>
            <w:shd w:val="clear" w:color="auto" w:fill="auto"/>
            <w:noWrap/>
            <w:vAlign w:val="center"/>
          </w:tcPr>
          <w:p w14:paraId="24B25428" w14:textId="5F55EE22" w:rsidR="00783776" w:rsidRPr="002B5023" w:rsidRDefault="00794506" w:rsidP="009C6618">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4.68</w:t>
            </w:r>
            <w:r w:rsidR="00783776" w:rsidRPr="002B5023">
              <w:rPr>
                <w:rFonts w:asciiTheme="minorHAnsi" w:hAnsiTheme="minorHAnsi" w:cstheme="minorHAnsi"/>
                <w:color w:val="000000" w:themeColor="text1"/>
                <w:sz w:val="18"/>
                <w:szCs w:val="18"/>
                <w:lang w:eastAsia="en-GB"/>
              </w:rPr>
              <w:t xml:space="preserve">  </w:t>
            </w:r>
          </w:p>
        </w:tc>
      </w:tr>
      <w:tr w:rsidR="00783776" w:rsidRPr="00BB17CF" w14:paraId="1BC772DE" w14:textId="77777777" w:rsidTr="002B5023">
        <w:trPr>
          <w:trHeight w:val="360"/>
          <w:jc w:val="center"/>
        </w:trPr>
        <w:tc>
          <w:tcPr>
            <w:tcW w:w="2008" w:type="dxa"/>
            <w:shd w:val="clear" w:color="000000" w:fill="FFFFFF"/>
            <w:noWrap/>
            <w:vAlign w:val="center"/>
          </w:tcPr>
          <w:p w14:paraId="6045231B" w14:textId="5C9E589C" w:rsidR="00783776" w:rsidRPr="002B5023" w:rsidRDefault="00783776" w:rsidP="009441DB">
            <w:pPr>
              <w:rPr>
                <w:rFonts w:asciiTheme="minorHAnsi" w:hAnsiTheme="minorHAnsi" w:cstheme="minorHAnsi"/>
                <w:sz w:val="18"/>
                <w:szCs w:val="18"/>
                <w:lang w:eastAsia="en-GB"/>
              </w:rPr>
            </w:pPr>
            <w:r w:rsidRPr="002B5023">
              <w:rPr>
                <w:rFonts w:asciiTheme="minorHAnsi" w:hAnsiTheme="minorHAnsi" w:cstheme="minorHAnsi"/>
                <w:sz w:val="18"/>
                <w:szCs w:val="18"/>
                <w:lang w:eastAsia="en-GB"/>
              </w:rPr>
              <w:t>Quick Ratio</w:t>
            </w:r>
          </w:p>
        </w:tc>
        <w:tc>
          <w:tcPr>
            <w:tcW w:w="1276" w:type="dxa"/>
            <w:vAlign w:val="center"/>
          </w:tcPr>
          <w:p w14:paraId="5760AC02" w14:textId="7D9EAA93"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0.35 </w:t>
            </w:r>
          </w:p>
        </w:tc>
        <w:tc>
          <w:tcPr>
            <w:tcW w:w="1276" w:type="dxa"/>
            <w:vAlign w:val="center"/>
          </w:tcPr>
          <w:p w14:paraId="32B3A377" w14:textId="0F6001B9"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3.93 </w:t>
            </w:r>
          </w:p>
        </w:tc>
        <w:tc>
          <w:tcPr>
            <w:tcW w:w="1276" w:type="dxa"/>
            <w:shd w:val="clear" w:color="auto" w:fill="auto"/>
            <w:noWrap/>
            <w:vAlign w:val="center"/>
          </w:tcPr>
          <w:p w14:paraId="3092E4CC" w14:textId="23BF44C2"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3.31 </w:t>
            </w:r>
          </w:p>
        </w:tc>
        <w:tc>
          <w:tcPr>
            <w:tcW w:w="1276" w:type="dxa"/>
            <w:vAlign w:val="center"/>
          </w:tcPr>
          <w:p w14:paraId="4383A6D5" w14:textId="4D91062B" w:rsidR="00783776" w:rsidRPr="002B5023" w:rsidRDefault="00813BDD" w:rsidP="008D4C70">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2.99</w:t>
            </w:r>
          </w:p>
        </w:tc>
        <w:tc>
          <w:tcPr>
            <w:tcW w:w="1276" w:type="dxa"/>
            <w:shd w:val="clear" w:color="auto" w:fill="auto"/>
            <w:noWrap/>
            <w:vAlign w:val="center"/>
          </w:tcPr>
          <w:p w14:paraId="0E60346A" w14:textId="7E9D6DCF"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2.</w:t>
            </w:r>
            <w:r w:rsidR="00794506" w:rsidRPr="002B5023">
              <w:rPr>
                <w:rFonts w:asciiTheme="minorHAnsi" w:hAnsiTheme="minorHAnsi" w:cstheme="minorHAnsi"/>
                <w:color w:val="000000" w:themeColor="text1"/>
                <w:sz w:val="18"/>
                <w:szCs w:val="18"/>
                <w:lang w:eastAsia="en-GB"/>
              </w:rPr>
              <w:t>6</w:t>
            </w:r>
            <w:r w:rsidRPr="002B5023">
              <w:rPr>
                <w:rFonts w:asciiTheme="minorHAnsi" w:hAnsiTheme="minorHAnsi" w:cstheme="minorHAnsi"/>
                <w:color w:val="000000" w:themeColor="text1"/>
                <w:sz w:val="18"/>
                <w:szCs w:val="18"/>
                <w:lang w:eastAsia="en-GB"/>
              </w:rPr>
              <w:t>5</w:t>
            </w:r>
          </w:p>
        </w:tc>
      </w:tr>
      <w:tr w:rsidR="00783776" w:rsidRPr="00BB17CF" w14:paraId="66E9CD12" w14:textId="77777777" w:rsidTr="002B5023">
        <w:trPr>
          <w:trHeight w:val="360"/>
          <w:jc w:val="center"/>
        </w:trPr>
        <w:tc>
          <w:tcPr>
            <w:tcW w:w="2008" w:type="dxa"/>
            <w:shd w:val="clear" w:color="000000" w:fill="FFFFFF"/>
            <w:noWrap/>
            <w:vAlign w:val="center"/>
          </w:tcPr>
          <w:p w14:paraId="4D8E7681" w14:textId="77777777" w:rsidR="00783776" w:rsidRPr="002B5023" w:rsidRDefault="00783776" w:rsidP="009441DB">
            <w:pPr>
              <w:rPr>
                <w:rFonts w:asciiTheme="minorHAnsi" w:hAnsiTheme="minorHAnsi" w:cstheme="minorHAnsi"/>
                <w:sz w:val="18"/>
                <w:szCs w:val="18"/>
                <w:lang w:eastAsia="en-GB"/>
              </w:rPr>
            </w:pPr>
            <w:r w:rsidRPr="002B5023">
              <w:rPr>
                <w:rFonts w:asciiTheme="minorHAnsi" w:hAnsiTheme="minorHAnsi" w:cstheme="minorHAnsi"/>
                <w:sz w:val="18"/>
                <w:szCs w:val="18"/>
                <w:lang w:eastAsia="en-GB"/>
              </w:rPr>
              <w:t>Accounts Receivable Days</w:t>
            </w:r>
          </w:p>
        </w:tc>
        <w:tc>
          <w:tcPr>
            <w:tcW w:w="1276" w:type="dxa"/>
            <w:vAlign w:val="center"/>
          </w:tcPr>
          <w:p w14:paraId="6D65141E" w14:textId="77507866"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193 </w:t>
            </w:r>
          </w:p>
        </w:tc>
        <w:tc>
          <w:tcPr>
            <w:tcW w:w="1276" w:type="dxa"/>
            <w:vAlign w:val="center"/>
          </w:tcPr>
          <w:p w14:paraId="59C1BA42" w14:textId="16A2F456"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212 </w:t>
            </w:r>
          </w:p>
        </w:tc>
        <w:tc>
          <w:tcPr>
            <w:tcW w:w="1276" w:type="dxa"/>
            <w:shd w:val="clear" w:color="auto" w:fill="auto"/>
            <w:noWrap/>
            <w:vAlign w:val="center"/>
          </w:tcPr>
          <w:p w14:paraId="78135D73" w14:textId="3A98302A"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348 </w:t>
            </w:r>
          </w:p>
        </w:tc>
        <w:tc>
          <w:tcPr>
            <w:tcW w:w="1276" w:type="dxa"/>
            <w:vAlign w:val="center"/>
          </w:tcPr>
          <w:p w14:paraId="2D963C1D" w14:textId="4FA68EBD" w:rsidR="00783776" w:rsidRPr="002B5023" w:rsidRDefault="00813BDD" w:rsidP="008D4C70">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333</w:t>
            </w:r>
          </w:p>
        </w:tc>
        <w:tc>
          <w:tcPr>
            <w:tcW w:w="1276" w:type="dxa"/>
            <w:shd w:val="clear" w:color="auto" w:fill="auto"/>
            <w:noWrap/>
            <w:vAlign w:val="center"/>
          </w:tcPr>
          <w:p w14:paraId="19F4FF10" w14:textId="788A87C5"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2</w:t>
            </w:r>
            <w:r w:rsidR="00794506" w:rsidRPr="002B5023">
              <w:rPr>
                <w:rFonts w:asciiTheme="minorHAnsi" w:hAnsiTheme="minorHAnsi" w:cstheme="minorHAnsi"/>
                <w:color w:val="000000" w:themeColor="text1"/>
                <w:sz w:val="18"/>
                <w:szCs w:val="18"/>
                <w:lang w:eastAsia="en-GB"/>
              </w:rPr>
              <w:t>72</w:t>
            </w:r>
          </w:p>
        </w:tc>
      </w:tr>
      <w:tr w:rsidR="00783776" w:rsidRPr="00BB17CF" w14:paraId="1E3F8DF2" w14:textId="77777777" w:rsidTr="002B5023">
        <w:trPr>
          <w:trHeight w:val="360"/>
          <w:jc w:val="center"/>
        </w:trPr>
        <w:tc>
          <w:tcPr>
            <w:tcW w:w="2008" w:type="dxa"/>
            <w:shd w:val="clear" w:color="000000" w:fill="FFFFFF"/>
            <w:noWrap/>
            <w:vAlign w:val="center"/>
          </w:tcPr>
          <w:p w14:paraId="326D1796" w14:textId="77777777" w:rsidR="00783776" w:rsidRPr="002B5023" w:rsidRDefault="00783776" w:rsidP="009441DB">
            <w:pPr>
              <w:rPr>
                <w:rFonts w:asciiTheme="minorHAnsi" w:hAnsiTheme="minorHAnsi" w:cstheme="minorHAnsi"/>
                <w:sz w:val="18"/>
                <w:szCs w:val="18"/>
                <w:lang w:eastAsia="en-GB"/>
              </w:rPr>
            </w:pPr>
            <w:r w:rsidRPr="002B5023">
              <w:rPr>
                <w:rFonts w:asciiTheme="minorHAnsi" w:hAnsiTheme="minorHAnsi" w:cstheme="minorHAnsi"/>
                <w:sz w:val="18"/>
                <w:szCs w:val="18"/>
                <w:lang w:eastAsia="en-GB"/>
              </w:rPr>
              <w:t>Assets Turnover</w:t>
            </w:r>
          </w:p>
        </w:tc>
        <w:tc>
          <w:tcPr>
            <w:tcW w:w="1276" w:type="dxa"/>
            <w:vAlign w:val="center"/>
          </w:tcPr>
          <w:p w14:paraId="1E2EAC7C" w14:textId="02220D96"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0.07 </w:t>
            </w:r>
          </w:p>
        </w:tc>
        <w:tc>
          <w:tcPr>
            <w:tcW w:w="1276" w:type="dxa"/>
            <w:vAlign w:val="center"/>
          </w:tcPr>
          <w:p w14:paraId="7F9BE676" w14:textId="2BC90A72"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0.06 </w:t>
            </w:r>
          </w:p>
        </w:tc>
        <w:tc>
          <w:tcPr>
            <w:tcW w:w="1276" w:type="dxa"/>
            <w:shd w:val="clear" w:color="auto" w:fill="auto"/>
            <w:noWrap/>
            <w:vAlign w:val="center"/>
          </w:tcPr>
          <w:p w14:paraId="1AE53FC5" w14:textId="3DC09F8C"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0.06 </w:t>
            </w:r>
          </w:p>
        </w:tc>
        <w:tc>
          <w:tcPr>
            <w:tcW w:w="1276" w:type="dxa"/>
            <w:vAlign w:val="center"/>
          </w:tcPr>
          <w:p w14:paraId="72A38D1C" w14:textId="43BED0D0" w:rsidR="00783776" w:rsidRPr="002B5023" w:rsidRDefault="00813BDD" w:rsidP="008D4C70">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0.05</w:t>
            </w:r>
          </w:p>
        </w:tc>
        <w:tc>
          <w:tcPr>
            <w:tcW w:w="1276" w:type="dxa"/>
            <w:shd w:val="clear" w:color="auto" w:fill="auto"/>
            <w:noWrap/>
            <w:vAlign w:val="center"/>
          </w:tcPr>
          <w:p w14:paraId="67CC28A1" w14:textId="75878E38"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0.0</w:t>
            </w:r>
            <w:r w:rsidR="00794506" w:rsidRPr="002B5023">
              <w:rPr>
                <w:rFonts w:asciiTheme="minorHAnsi" w:hAnsiTheme="minorHAnsi" w:cstheme="minorHAnsi"/>
                <w:color w:val="000000" w:themeColor="text1"/>
                <w:sz w:val="18"/>
                <w:szCs w:val="18"/>
                <w:lang w:eastAsia="en-GB"/>
              </w:rPr>
              <w:t>6</w:t>
            </w:r>
          </w:p>
        </w:tc>
      </w:tr>
      <w:tr w:rsidR="00783776" w:rsidRPr="00BB17CF" w14:paraId="651F5A63" w14:textId="77777777" w:rsidTr="002B5023">
        <w:trPr>
          <w:trHeight w:val="360"/>
          <w:jc w:val="center"/>
        </w:trPr>
        <w:tc>
          <w:tcPr>
            <w:tcW w:w="2008" w:type="dxa"/>
            <w:shd w:val="clear" w:color="000000" w:fill="FFFFFF"/>
            <w:noWrap/>
            <w:vAlign w:val="center"/>
            <w:hideMark/>
          </w:tcPr>
          <w:p w14:paraId="07352E25" w14:textId="77777777" w:rsidR="00783776" w:rsidRPr="002B5023" w:rsidRDefault="00783776" w:rsidP="009441DB">
            <w:pPr>
              <w:rPr>
                <w:rFonts w:asciiTheme="minorHAnsi" w:hAnsiTheme="minorHAnsi" w:cstheme="minorHAnsi"/>
                <w:sz w:val="18"/>
                <w:szCs w:val="18"/>
                <w:lang w:eastAsia="en-GB"/>
              </w:rPr>
            </w:pPr>
            <w:r w:rsidRPr="002B5023">
              <w:rPr>
                <w:rFonts w:asciiTheme="minorHAnsi" w:hAnsiTheme="minorHAnsi" w:cstheme="minorHAnsi"/>
                <w:sz w:val="18"/>
                <w:szCs w:val="18"/>
                <w:lang w:eastAsia="en-GB"/>
              </w:rPr>
              <w:t>Debt / Equity Ratio</w:t>
            </w:r>
          </w:p>
        </w:tc>
        <w:tc>
          <w:tcPr>
            <w:tcW w:w="1276" w:type="dxa"/>
            <w:vAlign w:val="center"/>
          </w:tcPr>
          <w:p w14:paraId="1E3801E2" w14:textId="0E1B79A2" w:rsidR="00783776" w:rsidRPr="002B5023" w:rsidRDefault="00783776" w:rsidP="009441DB">
            <w:pPr>
              <w:jc w:val="right"/>
              <w:rPr>
                <w:rFonts w:asciiTheme="minorHAnsi" w:hAnsiTheme="minorHAnsi" w:cstheme="minorHAnsi"/>
                <w:color w:val="FF0000"/>
                <w:sz w:val="18"/>
                <w:szCs w:val="18"/>
                <w:lang w:eastAsia="en-GB"/>
              </w:rPr>
            </w:pPr>
            <w:r w:rsidRPr="002B5023">
              <w:rPr>
                <w:rFonts w:asciiTheme="minorHAnsi" w:hAnsiTheme="minorHAnsi" w:cstheme="minorHAnsi"/>
                <w:color w:val="000000" w:themeColor="text1"/>
                <w:sz w:val="18"/>
                <w:szCs w:val="18"/>
                <w:lang w:eastAsia="en-GB"/>
              </w:rPr>
              <w:t xml:space="preserve">0.19 </w:t>
            </w:r>
          </w:p>
        </w:tc>
        <w:tc>
          <w:tcPr>
            <w:tcW w:w="1276" w:type="dxa"/>
            <w:vAlign w:val="center"/>
          </w:tcPr>
          <w:p w14:paraId="65ACF6AB" w14:textId="67A9035F" w:rsidR="00783776" w:rsidRPr="002B5023" w:rsidRDefault="00783776" w:rsidP="009441DB">
            <w:pPr>
              <w:jc w:val="right"/>
              <w:rPr>
                <w:rFonts w:asciiTheme="minorHAnsi" w:hAnsiTheme="minorHAnsi" w:cstheme="minorHAnsi"/>
                <w:color w:val="FF0000"/>
                <w:sz w:val="18"/>
                <w:szCs w:val="18"/>
                <w:lang w:eastAsia="en-GB"/>
              </w:rPr>
            </w:pPr>
            <w:r w:rsidRPr="002B5023">
              <w:rPr>
                <w:rFonts w:asciiTheme="minorHAnsi" w:hAnsiTheme="minorHAnsi" w:cstheme="minorHAnsi"/>
                <w:color w:val="000000" w:themeColor="text1"/>
                <w:sz w:val="18"/>
                <w:szCs w:val="18"/>
                <w:lang w:eastAsia="en-GB"/>
              </w:rPr>
              <w:t xml:space="preserve">0.32 </w:t>
            </w:r>
          </w:p>
        </w:tc>
        <w:tc>
          <w:tcPr>
            <w:tcW w:w="1276" w:type="dxa"/>
            <w:shd w:val="clear" w:color="auto" w:fill="auto"/>
            <w:noWrap/>
            <w:vAlign w:val="center"/>
          </w:tcPr>
          <w:p w14:paraId="377FE779" w14:textId="301F8525"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0.28  </w:t>
            </w:r>
          </w:p>
        </w:tc>
        <w:tc>
          <w:tcPr>
            <w:tcW w:w="1276" w:type="dxa"/>
            <w:vAlign w:val="center"/>
          </w:tcPr>
          <w:p w14:paraId="723D9423" w14:textId="0A5D8179" w:rsidR="00783776" w:rsidRPr="002B5023" w:rsidRDefault="00813BDD" w:rsidP="008D4C70">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0.25</w:t>
            </w:r>
          </w:p>
        </w:tc>
        <w:tc>
          <w:tcPr>
            <w:tcW w:w="1276" w:type="dxa"/>
            <w:shd w:val="clear" w:color="auto" w:fill="auto"/>
            <w:noWrap/>
            <w:vAlign w:val="center"/>
            <w:hideMark/>
          </w:tcPr>
          <w:p w14:paraId="40DFCF45" w14:textId="07696B14" w:rsidR="00783776" w:rsidRPr="002B5023" w:rsidRDefault="00783776" w:rsidP="009441DB">
            <w:pPr>
              <w:jc w:val="right"/>
              <w:rPr>
                <w:rFonts w:asciiTheme="minorHAnsi" w:hAnsiTheme="minorHAnsi" w:cstheme="minorHAnsi"/>
                <w:color w:val="000000" w:themeColor="text1"/>
                <w:sz w:val="18"/>
                <w:szCs w:val="18"/>
                <w:lang w:eastAsia="en-GB"/>
              </w:rPr>
            </w:pPr>
            <w:r w:rsidRPr="002B5023">
              <w:rPr>
                <w:rFonts w:asciiTheme="minorHAnsi" w:hAnsiTheme="minorHAnsi" w:cstheme="minorHAnsi"/>
                <w:color w:val="000000" w:themeColor="text1"/>
                <w:sz w:val="18"/>
                <w:szCs w:val="18"/>
                <w:lang w:eastAsia="en-GB"/>
              </w:rPr>
              <w:t xml:space="preserve">0.26  </w:t>
            </w:r>
          </w:p>
        </w:tc>
      </w:tr>
    </w:tbl>
    <w:p w14:paraId="7EDB7D60" w14:textId="475E35F7" w:rsidR="00804836" w:rsidRPr="00D25BE7" w:rsidRDefault="00804836" w:rsidP="00FB743E">
      <w:pPr>
        <w:rPr>
          <w:rFonts w:asciiTheme="minorHAnsi" w:hAnsiTheme="minorHAnsi"/>
          <w:color w:val="000000" w:themeColor="text1"/>
          <w:lang w:val="en-GB"/>
        </w:rPr>
      </w:pPr>
      <w:r w:rsidRPr="00D25BE7">
        <w:rPr>
          <w:rFonts w:asciiTheme="minorHAnsi" w:hAnsiTheme="minorHAnsi"/>
        </w:rPr>
        <w:t xml:space="preserve"> </w:t>
      </w:r>
    </w:p>
    <w:p w14:paraId="2FEF560E" w14:textId="3CC14BBB" w:rsidR="00621891" w:rsidRDefault="00621891" w:rsidP="009C433E">
      <w:pPr>
        <w:pStyle w:val="ListParagraph"/>
        <w:ind w:left="567" w:hanging="567"/>
        <w:rPr>
          <w:rFonts w:asciiTheme="minorHAnsi" w:hAnsiTheme="minorHAnsi"/>
          <w:lang w:val="en-GB"/>
        </w:rPr>
      </w:pPr>
      <w:r w:rsidRPr="00D25BE7">
        <w:rPr>
          <w:rFonts w:asciiTheme="minorHAnsi" w:hAnsiTheme="minorHAnsi"/>
          <w:lang w:val="en-GB"/>
        </w:rPr>
        <w:t>LNDC was issued a</w:t>
      </w:r>
      <w:r w:rsidR="00DA2865" w:rsidRPr="00D25BE7">
        <w:rPr>
          <w:rFonts w:asciiTheme="minorHAnsi" w:hAnsiTheme="minorHAnsi"/>
          <w:lang w:val="en-GB"/>
        </w:rPr>
        <w:t>n unqualif</w:t>
      </w:r>
      <w:r w:rsidR="00E83B56" w:rsidRPr="00D25BE7">
        <w:rPr>
          <w:rFonts w:asciiTheme="minorHAnsi" w:hAnsiTheme="minorHAnsi"/>
          <w:lang w:val="en-GB"/>
        </w:rPr>
        <w:t>i</w:t>
      </w:r>
      <w:r w:rsidR="00DA2865" w:rsidRPr="00D25BE7">
        <w:rPr>
          <w:rFonts w:asciiTheme="minorHAnsi" w:hAnsiTheme="minorHAnsi"/>
          <w:lang w:val="en-GB"/>
        </w:rPr>
        <w:t>ed audit</w:t>
      </w:r>
      <w:r w:rsidRPr="00D25BE7">
        <w:rPr>
          <w:rFonts w:asciiTheme="minorHAnsi" w:hAnsiTheme="minorHAnsi"/>
          <w:lang w:val="en-GB"/>
        </w:rPr>
        <w:t xml:space="preserve"> </w:t>
      </w:r>
      <w:r w:rsidR="00E83B56" w:rsidRPr="00D25BE7">
        <w:rPr>
          <w:rFonts w:asciiTheme="minorHAnsi" w:hAnsiTheme="minorHAnsi"/>
          <w:lang w:val="en-GB"/>
        </w:rPr>
        <w:t xml:space="preserve">opinion for 2016/17 having been </w:t>
      </w:r>
      <w:r w:rsidRPr="00D25BE7">
        <w:rPr>
          <w:rFonts w:asciiTheme="minorHAnsi" w:hAnsiTheme="minorHAnsi"/>
          <w:lang w:val="en-GB"/>
        </w:rPr>
        <w:t>qualified for the year to 31 March 201</w:t>
      </w:r>
      <w:r w:rsidR="00273C9C" w:rsidRPr="00D25BE7">
        <w:rPr>
          <w:rFonts w:asciiTheme="minorHAnsi" w:hAnsiTheme="minorHAnsi"/>
          <w:lang w:val="en-GB"/>
        </w:rPr>
        <w:t>6</w:t>
      </w:r>
      <w:r w:rsidRPr="00D25BE7">
        <w:rPr>
          <w:rFonts w:asciiTheme="minorHAnsi" w:hAnsiTheme="minorHAnsi"/>
          <w:lang w:val="en-GB"/>
        </w:rPr>
        <w:t xml:space="preserve"> relating to application of IAS 36 on Impairment of Assets.</w:t>
      </w:r>
    </w:p>
    <w:p w14:paraId="243B0634" w14:textId="4A550110" w:rsidR="00053DDE" w:rsidRDefault="00053DDE" w:rsidP="009C433E">
      <w:pPr>
        <w:pStyle w:val="ListParagraph"/>
        <w:ind w:left="567" w:hanging="567"/>
        <w:rPr>
          <w:rFonts w:asciiTheme="minorHAnsi" w:hAnsiTheme="minorHAnsi"/>
          <w:lang w:val="en-GB"/>
        </w:rPr>
      </w:pPr>
      <w:r>
        <w:rPr>
          <w:rFonts w:asciiTheme="minorHAnsi" w:hAnsiTheme="minorHAnsi"/>
          <w:lang w:val="en-GB"/>
        </w:rPr>
        <w:lastRenderedPageBreak/>
        <w:t xml:space="preserve">A key issue that </w:t>
      </w:r>
      <w:r w:rsidR="00675CF1">
        <w:rPr>
          <w:rFonts w:asciiTheme="minorHAnsi" w:hAnsiTheme="minorHAnsi"/>
          <w:lang w:val="en-GB"/>
        </w:rPr>
        <w:t xml:space="preserve">LNDC </w:t>
      </w:r>
      <w:r>
        <w:rPr>
          <w:rFonts w:asciiTheme="minorHAnsi" w:hAnsiTheme="minorHAnsi"/>
          <w:lang w:val="en-GB"/>
        </w:rPr>
        <w:t xml:space="preserve">has to </w:t>
      </w:r>
      <w:r w:rsidR="00675CF1">
        <w:rPr>
          <w:rFonts w:asciiTheme="minorHAnsi" w:hAnsiTheme="minorHAnsi"/>
          <w:lang w:val="en-GB"/>
        </w:rPr>
        <w:t>address</w:t>
      </w:r>
      <w:r>
        <w:rPr>
          <w:rFonts w:asciiTheme="minorHAnsi" w:hAnsiTheme="minorHAnsi"/>
          <w:lang w:val="en-GB"/>
        </w:rPr>
        <w:t xml:space="preserve"> is that of the property rental aspect of the business. </w:t>
      </w:r>
      <w:r w:rsidR="00675CF1">
        <w:rPr>
          <w:rFonts w:asciiTheme="minorHAnsi" w:hAnsiTheme="minorHAnsi"/>
          <w:lang w:val="en-GB"/>
        </w:rPr>
        <w:t xml:space="preserve">From the table above we can see that Accounts Receivable Days has increased from a very high 193 days to what must be an unsustainable level of 333 days. </w:t>
      </w:r>
    </w:p>
    <w:p w14:paraId="5734D3DA" w14:textId="42E42875" w:rsidR="00FE5835" w:rsidRPr="00500D17" w:rsidRDefault="00BB17CF" w:rsidP="002B5023">
      <w:pPr>
        <w:pStyle w:val="ListParagraph"/>
        <w:ind w:left="567" w:hanging="567"/>
        <w:rPr>
          <w:rFonts w:asciiTheme="minorHAnsi" w:hAnsiTheme="minorHAnsi"/>
          <w:lang w:val="en-GB"/>
        </w:rPr>
      </w:pPr>
      <w:r w:rsidRPr="002B5023">
        <w:rPr>
          <w:rFonts w:asciiTheme="minorHAnsi" w:hAnsiTheme="minorHAnsi"/>
          <w:lang w:val="en-GB"/>
        </w:rPr>
        <w:t xml:space="preserve">There is some confusion surrounding 2 of LNDC’s ‘subsidiaries’. </w:t>
      </w:r>
      <w:r w:rsidR="00FE5835" w:rsidRPr="002B5023">
        <w:rPr>
          <w:rFonts w:asciiTheme="minorHAnsi" w:hAnsiTheme="minorHAnsi"/>
          <w:lang w:val="en-GB"/>
        </w:rPr>
        <w:t>Basotho Fruit and Veg Canners (100% owned by LNDC) is recorded as being ‘Active’ in the business registration database in June 2020 but reported by LNDC in its 2017 financial statements as being ‘non-operational’</w:t>
      </w:r>
      <w:r w:rsidR="002B5023">
        <w:rPr>
          <w:rFonts w:asciiTheme="minorHAnsi" w:hAnsiTheme="minorHAnsi"/>
          <w:lang w:val="en-GB"/>
        </w:rPr>
        <w:t xml:space="preserve"> though it is not clear what ‘non-operational’ means. The confusion is compounded in that according to the OAG (see Table 9) LNDC paid </w:t>
      </w:r>
      <w:r w:rsidR="00F22AC5">
        <w:rPr>
          <w:rFonts w:asciiTheme="minorHAnsi" w:hAnsiTheme="minorHAnsi"/>
          <w:lang w:val="en-GB"/>
        </w:rPr>
        <w:t xml:space="preserve">interest of M32,455 </w:t>
      </w:r>
      <w:r w:rsidR="005206D7">
        <w:rPr>
          <w:rFonts w:asciiTheme="minorHAnsi" w:hAnsiTheme="minorHAnsi"/>
          <w:lang w:val="en-GB"/>
        </w:rPr>
        <w:t xml:space="preserve">relating to a GoL guaranteed loan </w:t>
      </w:r>
      <w:r w:rsidR="00F22AC5">
        <w:rPr>
          <w:rFonts w:asciiTheme="minorHAnsi" w:hAnsiTheme="minorHAnsi"/>
          <w:lang w:val="en-GB"/>
        </w:rPr>
        <w:t xml:space="preserve">on behalf of </w:t>
      </w:r>
      <w:r w:rsidR="00F22AC5" w:rsidRPr="002B5023">
        <w:rPr>
          <w:rFonts w:asciiTheme="minorHAnsi" w:hAnsiTheme="minorHAnsi"/>
          <w:lang w:val="en-GB"/>
        </w:rPr>
        <w:t>Basotho Fruit and Veg Canners</w:t>
      </w:r>
      <w:r w:rsidR="00F22AC5">
        <w:rPr>
          <w:rFonts w:asciiTheme="minorHAnsi" w:hAnsiTheme="minorHAnsi"/>
          <w:lang w:val="en-GB"/>
        </w:rPr>
        <w:t xml:space="preserve"> </w:t>
      </w:r>
      <w:r w:rsidR="00500D17">
        <w:rPr>
          <w:rFonts w:asciiTheme="minorHAnsi" w:hAnsiTheme="minorHAnsi"/>
          <w:lang w:val="en-GB"/>
        </w:rPr>
        <w:t xml:space="preserve">during FY 2017/18 </w:t>
      </w:r>
      <w:r w:rsidR="00F22AC5">
        <w:rPr>
          <w:rFonts w:asciiTheme="minorHAnsi" w:hAnsiTheme="minorHAnsi"/>
          <w:lang w:val="en-GB"/>
        </w:rPr>
        <w:t xml:space="preserve">and there is still (as at March 2018) arrears of </w:t>
      </w:r>
      <w:r w:rsidR="00F22AC5" w:rsidRPr="00500D17">
        <w:rPr>
          <w:rFonts w:asciiTheme="minorHAnsi" w:hAnsiTheme="minorHAnsi"/>
          <w:lang w:val="en-GB"/>
        </w:rPr>
        <w:t xml:space="preserve">interest </w:t>
      </w:r>
      <w:r w:rsidR="00500D17">
        <w:rPr>
          <w:rFonts w:asciiTheme="minorHAnsi" w:hAnsiTheme="minorHAnsi"/>
          <w:lang w:val="en-GB"/>
        </w:rPr>
        <w:t xml:space="preserve">payable </w:t>
      </w:r>
      <w:r w:rsidR="00F22AC5" w:rsidRPr="00500D17">
        <w:rPr>
          <w:rFonts w:asciiTheme="minorHAnsi" w:hAnsiTheme="minorHAnsi"/>
          <w:lang w:val="en-GB"/>
        </w:rPr>
        <w:t>of M33,058.</w:t>
      </w:r>
    </w:p>
    <w:p w14:paraId="20F69AED" w14:textId="475450EC" w:rsidR="00500D17" w:rsidRPr="00500D17" w:rsidRDefault="00500D17" w:rsidP="00500D17">
      <w:pPr>
        <w:pStyle w:val="ListParagraph"/>
        <w:ind w:left="567" w:hanging="567"/>
        <w:rPr>
          <w:rFonts w:asciiTheme="minorHAnsi" w:hAnsiTheme="minorHAnsi"/>
          <w:lang w:val="en-GB"/>
        </w:rPr>
      </w:pPr>
      <w:r w:rsidRPr="00500D17">
        <w:rPr>
          <w:rFonts w:asciiTheme="minorHAnsi" w:hAnsiTheme="minorHAnsi"/>
          <w:lang w:val="en-GB"/>
        </w:rPr>
        <w:t xml:space="preserve">Lesotho Food Industries in which LNDC owns 39.7% of the equity is designated as being dormant in the latest LNDC financial statements yet in June 2020 is recorded as being ‘Active’ in the </w:t>
      </w:r>
      <w:r w:rsidR="005206D7">
        <w:rPr>
          <w:rFonts w:asciiTheme="minorHAnsi" w:hAnsiTheme="minorHAnsi"/>
          <w:lang w:val="en-GB"/>
        </w:rPr>
        <w:t xml:space="preserve">government’s </w:t>
      </w:r>
      <w:r w:rsidRPr="00500D17">
        <w:rPr>
          <w:rFonts w:asciiTheme="minorHAnsi" w:hAnsiTheme="minorHAnsi"/>
          <w:lang w:val="en-GB"/>
        </w:rPr>
        <w:t>business registration database;</w:t>
      </w:r>
    </w:p>
    <w:p w14:paraId="0CD54880" w14:textId="2D75C476" w:rsidR="00BB17CF" w:rsidRPr="00500D17" w:rsidRDefault="00BB17CF" w:rsidP="00500D17">
      <w:pPr>
        <w:rPr>
          <w:rFonts w:asciiTheme="minorHAnsi" w:hAnsiTheme="minorHAnsi"/>
          <w:lang w:val="en-GB"/>
        </w:rPr>
      </w:pPr>
    </w:p>
    <w:p w14:paraId="2A61180E" w14:textId="7CCBD867" w:rsidR="00BD09D9" w:rsidRPr="00D25BE7" w:rsidRDefault="001A78A8" w:rsidP="009C433E">
      <w:pPr>
        <w:pStyle w:val="ListParagraph"/>
        <w:ind w:left="567" w:hanging="567"/>
        <w:rPr>
          <w:rFonts w:asciiTheme="minorHAnsi" w:hAnsiTheme="minorHAnsi"/>
          <w:lang w:val="en-GB"/>
        </w:rPr>
      </w:pPr>
      <w:proofErr w:type="spellStart"/>
      <w:r w:rsidRPr="00500D17">
        <w:rPr>
          <w:rFonts w:asciiTheme="minorHAnsi" w:hAnsiTheme="minorHAnsi"/>
          <w:b/>
          <w:sz w:val="24"/>
          <w:szCs w:val="24"/>
          <w:lang w:val="en-GB"/>
        </w:rPr>
        <w:t>Maluti</w:t>
      </w:r>
      <w:proofErr w:type="spellEnd"/>
      <w:r w:rsidRPr="00500D17">
        <w:rPr>
          <w:rFonts w:asciiTheme="minorHAnsi" w:hAnsiTheme="minorHAnsi"/>
          <w:b/>
          <w:sz w:val="24"/>
          <w:szCs w:val="24"/>
          <w:lang w:val="en-GB"/>
        </w:rPr>
        <w:t xml:space="preserve"> Mountain Brewery (Pty) Ltd</w:t>
      </w:r>
      <w:r w:rsidR="00500D17">
        <w:rPr>
          <w:rFonts w:asciiTheme="minorHAnsi" w:hAnsiTheme="minorHAnsi"/>
          <w:lang w:val="en-GB"/>
        </w:rPr>
        <w:t xml:space="preserve"> </w:t>
      </w:r>
      <w:r w:rsidR="00760A8F">
        <w:rPr>
          <w:rFonts w:asciiTheme="minorHAnsi" w:hAnsiTheme="minorHAnsi"/>
          <w:lang w:val="en-GB"/>
        </w:rPr>
        <w:t>MMB</w:t>
      </w:r>
      <w:r w:rsidR="00760A8F" w:rsidRPr="00D25BE7">
        <w:rPr>
          <w:rFonts w:asciiTheme="minorHAnsi" w:hAnsiTheme="minorHAnsi"/>
          <w:lang w:val="en-GB"/>
        </w:rPr>
        <w:t xml:space="preserve"> </w:t>
      </w:r>
      <w:r w:rsidRPr="00D25BE7">
        <w:rPr>
          <w:rFonts w:asciiTheme="minorHAnsi" w:hAnsiTheme="minorHAnsi"/>
          <w:lang w:val="en-GB"/>
        </w:rPr>
        <w:t>is controlled by Government through LNDC being the major shareholder (51%)</w:t>
      </w:r>
      <w:r w:rsidR="00760A8F">
        <w:rPr>
          <w:rFonts w:asciiTheme="minorHAnsi" w:hAnsiTheme="minorHAnsi"/>
          <w:lang w:val="en-GB"/>
        </w:rPr>
        <w:t xml:space="preserve">; GOL’s </w:t>
      </w:r>
      <w:r w:rsidRPr="00D25BE7">
        <w:rPr>
          <w:rFonts w:asciiTheme="minorHAnsi" w:hAnsiTheme="minorHAnsi"/>
          <w:lang w:val="en-GB"/>
        </w:rPr>
        <w:t>4.75% holding</w:t>
      </w:r>
      <w:r w:rsidR="00760A8F">
        <w:rPr>
          <w:rFonts w:asciiTheme="minorHAnsi" w:hAnsiTheme="minorHAnsi"/>
          <w:lang w:val="en-GB"/>
        </w:rPr>
        <w:t>;</w:t>
      </w:r>
      <w:r w:rsidRPr="00D25BE7">
        <w:rPr>
          <w:rFonts w:asciiTheme="minorHAnsi" w:hAnsiTheme="minorHAnsi"/>
          <w:lang w:val="en-GB"/>
        </w:rPr>
        <w:t xml:space="preserve"> </w:t>
      </w:r>
      <w:r w:rsidR="00432188" w:rsidRPr="00D25BE7">
        <w:rPr>
          <w:rFonts w:asciiTheme="minorHAnsi" w:hAnsiTheme="minorHAnsi"/>
          <w:lang w:val="en-GB"/>
        </w:rPr>
        <w:t>Lesotho Unit Trust with 5.25%</w:t>
      </w:r>
      <w:r w:rsidR="000E642E">
        <w:rPr>
          <w:rFonts w:asciiTheme="minorHAnsi" w:hAnsiTheme="minorHAnsi"/>
          <w:lang w:val="en-GB"/>
        </w:rPr>
        <w:t xml:space="preserve">. AB InBev with 39% of </w:t>
      </w:r>
      <w:r w:rsidRPr="00D25BE7">
        <w:rPr>
          <w:rFonts w:asciiTheme="minorHAnsi" w:hAnsiTheme="minorHAnsi"/>
          <w:lang w:val="en-GB"/>
        </w:rPr>
        <w:t>t</w:t>
      </w:r>
      <w:r w:rsidR="000E642E">
        <w:rPr>
          <w:rFonts w:asciiTheme="minorHAnsi" w:hAnsiTheme="minorHAnsi"/>
          <w:lang w:val="en-GB"/>
        </w:rPr>
        <w:t>he shares is also a</w:t>
      </w:r>
      <w:r w:rsidRPr="00D25BE7">
        <w:rPr>
          <w:rFonts w:asciiTheme="minorHAnsi" w:hAnsiTheme="minorHAnsi"/>
          <w:lang w:val="en-GB"/>
        </w:rPr>
        <w:t xml:space="preserve"> significant</w:t>
      </w:r>
      <w:r w:rsidR="000E642E">
        <w:rPr>
          <w:rFonts w:asciiTheme="minorHAnsi" w:hAnsiTheme="minorHAnsi"/>
          <w:lang w:val="en-GB"/>
        </w:rPr>
        <w:t xml:space="preserve"> </w:t>
      </w:r>
      <w:r w:rsidR="00E85B01">
        <w:rPr>
          <w:rFonts w:asciiTheme="minorHAnsi" w:hAnsiTheme="minorHAnsi"/>
          <w:lang w:val="en-GB"/>
        </w:rPr>
        <w:t xml:space="preserve">but minority </w:t>
      </w:r>
      <w:r w:rsidR="000E642E">
        <w:rPr>
          <w:rFonts w:asciiTheme="minorHAnsi" w:hAnsiTheme="minorHAnsi"/>
          <w:lang w:val="en-GB"/>
        </w:rPr>
        <w:t>shareholder</w:t>
      </w:r>
      <w:r w:rsidR="00E85B01">
        <w:rPr>
          <w:rFonts w:asciiTheme="minorHAnsi" w:hAnsiTheme="minorHAnsi"/>
          <w:lang w:val="en-GB"/>
        </w:rPr>
        <w:t xml:space="preserve"> and has management contract to operate the brewery.</w:t>
      </w:r>
    </w:p>
    <w:p w14:paraId="7AD77910" w14:textId="35BBE30E" w:rsidR="005E6832" w:rsidRPr="00B74536" w:rsidRDefault="000E642E" w:rsidP="009C433E">
      <w:pPr>
        <w:pStyle w:val="ListParagraph"/>
        <w:ind w:left="567" w:hanging="567"/>
        <w:rPr>
          <w:rFonts w:asciiTheme="minorHAnsi" w:hAnsiTheme="minorHAnsi"/>
          <w:lang w:val="en-GB"/>
        </w:rPr>
      </w:pPr>
      <w:r>
        <w:rPr>
          <w:rFonts w:asciiTheme="minorHAnsi" w:hAnsiTheme="minorHAnsi"/>
          <w:lang w:val="en-GB"/>
        </w:rPr>
        <w:t>In 2018</w:t>
      </w:r>
      <w:r w:rsidR="00BD09D9" w:rsidRPr="00D25BE7">
        <w:rPr>
          <w:rFonts w:asciiTheme="minorHAnsi" w:hAnsiTheme="minorHAnsi"/>
          <w:lang w:val="en-GB"/>
        </w:rPr>
        <w:t xml:space="preserve"> there </w:t>
      </w:r>
      <w:r>
        <w:rPr>
          <w:rFonts w:asciiTheme="minorHAnsi" w:hAnsiTheme="minorHAnsi"/>
          <w:lang w:val="en-GB"/>
        </w:rPr>
        <w:t>was</w:t>
      </w:r>
      <w:r w:rsidRPr="00D25BE7">
        <w:rPr>
          <w:rFonts w:asciiTheme="minorHAnsi" w:hAnsiTheme="minorHAnsi"/>
          <w:lang w:val="en-GB"/>
        </w:rPr>
        <w:t xml:space="preserve"> </w:t>
      </w:r>
      <w:r w:rsidR="00BD09D9" w:rsidRPr="00D25BE7">
        <w:rPr>
          <w:rFonts w:asciiTheme="minorHAnsi" w:hAnsiTheme="minorHAnsi"/>
          <w:lang w:val="en-GB"/>
        </w:rPr>
        <w:t xml:space="preserve">a proposal to </w:t>
      </w:r>
      <w:r w:rsidR="00DB03B0" w:rsidRPr="00D25BE7">
        <w:rPr>
          <w:rFonts w:asciiTheme="minorHAnsi" w:hAnsiTheme="minorHAnsi"/>
          <w:lang w:val="en-GB"/>
        </w:rPr>
        <w:t xml:space="preserve">separate the soft drinks business </w:t>
      </w:r>
      <w:r>
        <w:rPr>
          <w:rFonts w:asciiTheme="minorHAnsi" w:hAnsiTheme="minorHAnsi"/>
          <w:lang w:val="en-GB"/>
        </w:rPr>
        <w:t xml:space="preserve">from the alcohol </w:t>
      </w:r>
      <w:r w:rsidR="00AF3256">
        <w:rPr>
          <w:rFonts w:asciiTheme="minorHAnsi" w:hAnsiTheme="minorHAnsi"/>
          <w:lang w:val="en-GB"/>
        </w:rPr>
        <w:t xml:space="preserve">side of the business and </w:t>
      </w:r>
      <w:r w:rsidR="00DB03B0" w:rsidRPr="00D25BE7">
        <w:rPr>
          <w:rFonts w:asciiTheme="minorHAnsi" w:hAnsiTheme="minorHAnsi"/>
          <w:lang w:val="en-GB"/>
        </w:rPr>
        <w:t>create two companies</w:t>
      </w:r>
      <w:r w:rsidR="00AF3256">
        <w:rPr>
          <w:rFonts w:asciiTheme="minorHAnsi" w:hAnsiTheme="minorHAnsi"/>
          <w:lang w:val="en-GB"/>
        </w:rPr>
        <w:t>.</w:t>
      </w:r>
      <w:r w:rsidR="00DB03B0" w:rsidRPr="00D25BE7">
        <w:rPr>
          <w:rFonts w:asciiTheme="minorHAnsi" w:hAnsiTheme="minorHAnsi"/>
          <w:lang w:val="en-GB"/>
        </w:rPr>
        <w:t xml:space="preserve"> </w:t>
      </w:r>
      <w:r w:rsidR="00AF3256">
        <w:rPr>
          <w:rFonts w:asciiTheme="minorHAnsi" w:hAnsiTheme="minorHAnsi"/>
          <w:lang w:val="en-GB"/>
        </w:rPr>
        <w:t>MMB</w:t>
      </w:r>
      <w:r w:rsidR="00DB03B0" w:rsidRPr="00D25BE7">
        <w:rPr>
          <w:rFonts w:asciiTheme="minorHAnsi" w:hAnsiTheme="minorHAnsi"/>
          <w:lang w:val="en-GB"/>
        </w:rPr>
        <w:t xml:space="preserve"> </w:t>
      </w:r>
      <w:r w:rsidR="00AF3256">
        <w:rPr>
          <w:rFonts w:asciiTheme="minorHAnsi" w:hAnsiTheme="minorHAnsi"/>
          <w:lang w:val="en-GB"/>
        </w:rPr>
        <w:t>with</w:t>
      </w:r>
      <w:r w:rsidR="00DB03B0" w:rsidRPr="00D25BE7">
        <w:rPr>
          <w:rFonts w:asciiTheme="minorHAnsi" w:hAnsiTheme="minorHAnsi"/>
          <w:lang w:val="en-GB"/>
        </w:rPr>
        <w:t xml:space="preserve"> AB InBev</w:t>
      </w:r>
      <w:r w:rsidR="00AF3256">
        <w:rPr>
          <w:rFonts w:asciiTheme="minorHAnsi" w:hAnsiTheme="minorHAnsi"/>
          <w:lang w:val="en-GB"/>
        </w:rPr>
        <w:t xml:space="preserve"> remaining as the strategic investor </w:t>
      </w:r>
      <w:r w:rsidR="00B114F0">
        <w:rPr>
          <w:rFonts w:asciiTheme="minorHAnsi" w:hAnsiTheme="minorHAnsi"/>
          <w:lang w:val="en-GB"/>
        </w:rPr>
        <w:t xml:space="preserve">(though still a minority investor) </w:t>
      </w:r>
      <w:r w:rsidR="00AF3256">
        <w:rPr>
          <w:rFonts w:asciiTheme="minorHAnsi" w:hAnsiTheme="minorHAnsi"/>
          <w:lang w:val="en-GB"/>
        </w:rPr>
        <w:t xml:space="preserve">would </w:t>
      </w:r>
      <w:r w:rsidR="00AF3256" w:rsidRPr="00D25BE7">
        <w:rPr>
          <w:rFonts w:asciiTheme="minorHAnsi" w:hAnsiTheme="minorHAnsi"/>
          <w:lang w:val="en-GB"/>
        </w:rPr>
        <w:t>concentrat</w:t>
      </w:r>
      <w:r w:rsidR="00AF3256">
        <w:rPr>
          <w:rFonts w:asciiTheme="minorHAnsi" w:hAnsiTheme="minorHAnsi"/>
          <w:lang w:val="en-GB"/>
        </w:rPr>
        <w:t>e</w:t>
      </w:r>
      <w:r w:rsidR="00AF3256" w:rsidRPr="00D25BE7">
        <w:rPr>
          <w:rFonts w:asciiTheme="minorHAnsi" w:hAnsiTheme="minorHAnsi"/>
          <w:lang w:val="en-GB"/>
        </w:rPr>
        <w:t xml:space="preserve"> </w:t>
      </w:r>
      <w:r w:rsidR="00DB03B0" w:rsidRPr="00D25BE7">
        <w:rPr>
          <w:rFonts w:asciiTheme="minorHAnsi" w:hAnsiTheme="minorHAnsi"/>
          <w:lang w:val="en-GB"/>
        </w:rPr>
        <w:t xml:space="preserve">on beer production and </w:t>
      </w:r>
      <w:r w:rsidR="00AF3256">
        <w:rPr>
          <w:rFonts w:asciiTheme="minorHAnsi" w:hAnsiTheme="minorHAnsi"/>
          <w:lang w:val="en-GB"/>
        </w:rPr>
        <w:t xml:space="preserve">the marketing and distribution </w:t>
      </w:r>
      <w:r w:rsidR="0068742A">
        <w:rPr>
          <w:rFonts w:asciiTheme="minorHAnsi" w:hAnsiTheme="minorHAnsi"/>
          <w:lang w:val="en-GB"/>
        </w:rPr>
        <w:t xml:space="preserve">of </w:t>
      </w:r>
      <w:r w:rsidR="00DB03B0" w:rsidRPr="00D25BE7">
        <w:rPr>
          <w:rFonts w:asciiTheme="minorHAnsi" w:hAnsiTheme="minorHAnsi"/>
          <w:lang w:val="en-GB"/>
        </w:rPr>
        <w:t>alcoholic drinks</w:t>
      </w:r>
      <w:r w:rsidR="00AF3256">
        <w:rPr>
          <w:rFonts w:asciiTheme="minorHAnsi" w:hAnsiTheme="minorHAnsi"/>
          <w:lang w:val="en-GB"/>
        </w:rPr>
        <w:t>.</w:t>
      </w:r>
      <w:r w:rsidR="00DB03B0" w:rsidRPr="00D25BE7">
        <w:rPr>
          <w:rFonts w:asciiTheme="minorHAnsi" w:hAnsiTheme="minorHAnsi"/>
          <w:lang w:val="en-GB"/>
        </w:rPr>
        <w:t xml:space="preserve"> </w:t>
      </w:r>
      <w:r w:rsidR="00AF3256" w:rsidRPr="008338B4">
        <w:rPr>
          <w:rFonts w:asciiTheme="minorHAnsi" w:hAnsiTheme="minorHAnsi"/>
          <w:lang w:val="en-GB"/>
        </w:rPr>
        <w:t>The new company (</w:t>
      </w:r>
      <w:proofErr w:type="spellStart"/>
      <w:r w:rsidR="00DB03B0" w:rsidRPr="008338B4">
        <w:rPr>
          <w:rFonts w:asciiTheme="minorHAnsi" w:hAnsiTheme="minorHAnsi"/>
          <w:lang w:val="en-GB"/>
        </w:rPr>
        <w:t>NewCo</w:t>
      </w:r>
      <w:proofErr w:type="spellEnd"/>
      <w:r w:rsidR="00AF3256" w:rsidRPr="008338B4">
        <w:rPr>
          <w:rFonts w:asciiTheme="minorHAnsi" w:hAnsiTheme="minorHAnsi"/>
          <w:lang w:val="en-GB"/>
        </w:rPr>
        <w:t>)</w:t>
      </w:r>
      <w:r w:rsidR="00DB03B0" w:rsidRPr="008338B4">
        <w:rPr>
          <w:rFonts w:asciiTheme="minorHAnsi" w:hAnsiTheme="minorHAnsi"/>
          <w:lang w:val="en-GB"/>
        </w:rPr>
        <w:t xml:space="preserve"> </w:t>
      </w:r>
      <w:r w:rsidR="0068742A" w:rsidRPr="008338B4">
        <w:rPr>
          <w:rFonts w:asciiTheme="minorHAnsi" w:hAnsiTheme="minorHAnsi"/>
          <w:lang w:val="en-GB"/>
        </w:rPr>
        <w:t xml:space="preserve">a </w:t>
      </w:r>
      <w:r w:rsidR="00F72B9C" w:rsidRPr="008338B4">
        <w:rPr>
          <w:rFonts w:asciiTheme="minorHAnsi" w:hAnsiTheme="minorHAnsi"/>
          <w:lang w:val="en-GB"/>
        </w:rPr>
        <w:t>‘</w:t>
      </w:r>
      <w:r w:rsidR="008338B4" w:rsidRPr="008338B4">
        <w:rPr>
          <w:rFonts w:asciiTheme="minorHAnsi" w:hAnsiTheme="minorHAnsi"/>
          <w:lang w:val="en-GB"/>
        </w:rPr>
        <w:t xml:space="preserve">joint venture’ </w:t>
      </w:r>
      <w:r w:rsidR="0068742A" w:rsidRPr="008338B4">
        <w:rPr>
          <w:rFonts w:asciiTheme="minorHAnsi" w:hAnsiTheme="minorHAnsi"/>
          <w:lang w:val="en-GB"/>
        </w:rPr>
        <w:t xml:space="preserve">between </w:t>
      </w:r>
      <w:r w:rsidR="008338B4" w:rsidRPr="008338B4">
        <w:rPr>
          <w:rFonts w:asciiTheme="minorHAnsi" w:hAnsiTheme="minorHAnsi"/>
          <w:lang w:val="en-GB"/>
        </w:rPr>
        <w:t>a soft drink company</w:t>
      </w:r>
      <w:r w:rsidR="00DB03B0" w:rsidRPr="008338B4">
        <w:rPr>
          <w:rFonts w:asciiTheme="minorHAnsi" w:hAnsiTheme="minorHAnsi"/>
          <w:lang w:val="en-GB"/>
        </w:rPr>
        <w:t xml:space="preserve"> </w:t>
      </w:r>
      <w:r w:rsidR="00F72B9C" w:rsidRPr="008338B4">
        <w:rPr>
          <w:rFonts w:asciiTheme="minorHAnsi" w:hAnsiTheme="minorHAnsi"/>
          <w:lang w:val="en-GB"/>
        </w:rPr>
        <w:t xml:space="preserve">and the government (LNDC/GoL) </w:t>
      </w:r>
      <w:r w:rsidR="00DB03B0" w:rsidRPr="008338B4">
        <w:rPr>
          <w:rFonts w:asciiTheme="minorHAnsi" w:hAnsiTheme="minorHAnsi"/>
          <w:lang w:val="en-GB"/>
        </w:rPr>
        <w:t>will produce</w:t>
      </w:r>
      <w:r w:rsidR="00AF3256" w:rsidRPr="008338B4">
        <w:rPr>
          <w:rFonts w:asciiTheme="minorHAnsi" w:hAnsiTheme="minorHAnsi"/>
          <w:lang w:val="en-GB"/>
        </w:rPr>
        <w:t>, market and distribute</w:t>
      </w:r>
      <w:r w:rsidR="00DB03B0" w:rsidRPr="00E70D11">
        <w:rPr>
          <w:rFonts w:asciiTheme="minorHAnsi" w:hAnsiTheme="minorHAnsi"/>
          <w:lang w:val="en-GB"/>
        </w:rPr>
        <w:t xml:space="preserve"> the soft drinks. </w:t>
      </w:r>
    </w:p>
    <w:p w14:paraId="23D28F15" w14:textId="1271CBF7" w:rsidR="00322AE1" w:rsidRPr="00D25BE7" w:rsidRDefault="00322AE1" w:rsidP="009C433E">
      <w:pPr>
        <w:pStyle w:val="ListParagraph"/>
        <w:ind w:left="567" w:hanging="567"/>
        <w:rPr>
          <w:rFonts w:asciiTheme="minorHAnsi" w:hAnsiTheme="minorHAnsi"/>
          <w:lang w:val="en-GB"/>
        </w:rPr>
      </w:pPr>
      <w:r>
        <w:rPr>
          <w:rFonts w:asciiTheme="minorHAnsi" w:hAnsiTheme="minorHAnsi"/>
          <w:lang w:val="en-GB"/>
        </w:rPr>
        <w:t xml:space="preserve">Despite the 2 year timescale, there </w:t>
      </w:r>
      <w:r w:rsidR="00921150">
        <w:rPr>
          <w:rFonts w:asciiTheme="minorHAnsi" w:hAnsiTheme="minorHAnsi"/>
          <w:lang w:val="en-GB"/>
        </w:rPr>
        <w:t>has not</w:t>
      </w:r>
      <w:r>
        <w:rPr>
          <w:rFonts w:asciiTheme="minorHAnsi" w:hAnsiTheme="minorHAnsi"/>
          <w:lang w:val="en-GB"/>
        </w:rPr>
        <w:t xml:space="preserve"> been any final decision made as to how and when the </w:t>
      </w:r>
      <w:proofErr w:type="spellStart"/>
      <w:r>
        <w:rPr>
          <w:rFonts w:asciiTheme="minorHAnsi" w:hAnsiTheme="minorHAnsi"/>
          <w:lang w:val="en-GB"/>
        </w:rPr>
        <w:t>NewCo</w:t>
      </w:r>
      <w:proofErr w:type="spellEnd"/>
      <w:r>
        <w:rPr>
          <w:rFonts w:asciiTheme="minorHAnsi" w:hAnsiTheme="minorHAnsi"/>
          <w:lang w:val="en-GB"/>
        </w:rPr>
        <w:t xml:space="preserve"> will be established.</w:t>
      </w:r>
    </w:p>
    <w:p w14:paraId="2541BA49" w14:textId="530B91E4" w:rsidR="004D3C16" w:rsidRPr="00D25BE7" w:rsidRDefault="004D3C16" w:rsidP="004D3C16">
      <w:pPr>
        <w:pStyle w:val="ListParagraph"/>
        <w:ind w:left="426" w:hanging="426"/>
        <w:rPr>
          <w:rFonts w:asciiTheme="minorHAnsi" w:hAnsiTheme="minorHAnsi"/>
          <w:color w:val="000000" w:themeColor="text1"/>
          <w:szCs w:val="22"/>
          <w:lang w:val="en-GB"/>
        </w:rPr>
      </w:pPr>
      <w:r w:rsidRPr="00D25BE7">
        <w:rPr>
          <w:rFonts w:asciiTheme="minorHAnsi" w:hAnsiTheme="minorHAnsi"/>
          <w:lang w:val="en-GB"/>
        </w:rPr>
        <w:t xml:space="preserve">The performance trend for </w:t>
      </w:r>
      <w:r w:rsidR="00B114F0">
        <w:rPr>
          <w:rFonts w:asciiTheme="minorHAnsi" w:hAnsiTheme="minorHAnsi"/>
          <w:lang w:val="en-GB"/>
        </w:rPr>
        <w:t>MMB</w:t>
      </w:r>
      <w:r w:rsidR="00B114F0" w:rsidRPr="00D25BE7">
        <w:rPr>
          <w:rFonts w:asciiTheme="minorHAnsi" w:hAnsiTheme="minorHAnsi"/>
          <w:lang w:val="en-GB"/>
        </w:rPr>
        <w:t xml:space="preserve"> </w:t>
      </w:r>
      <w:r w:rsidR="00F90F18" w:rsidRPr="00D25BE7">
        <w:rPr>
          <w:rFonts w:asciiTheme="minorHAnsi" w:hAnsiTheme="minorHAnsi"/>
          <w:lang w:val="en-GB"/>
        </w:rPr>
        <w:t>has been attractive for LNDC with consistent profitability and dividend payments. That said</w:t>
      </w:r>
      <w:r w:rsidR="0059247B" w:rsidRPr="00D25BE7">
        <w:rPr>
          <w:rFonts w:asciiTheme="minorHAnsi" w:hAnsiTheme="minorHAnsi"/>
          <w:lang w:val="en-GB"/>
        </w:rPr>
        <w:t>,</w:t>
      </w:r>
      <w:r w:rsidR="00F90F18" w:rsidRPr="00D25BE7">
        <w:rPr>
          <w:rFonts w:asciiTheme="minorHAnsi" w:hAnsiTheme="minorHAnsi"/>
          <w:lang w:val="en-GB"/>
        </w:rPr>
        <w:t xml:space="preserve"> profit growth has been a little erratic in recent time as shown in </w:t>
      </w:r>
      <w:r w:rsidR="0072488E">
        <w:rPr>
          <w:rFonts w:asciiTheme="minorHAnsi" w:hAnsiTheme="minorHAnsi"/>
          <w:lang w:val="en-GB"/>
        </w:rPr>
        <w:t>Figure 19</w:t>
      </w:r>
      <w:r w:rsidR="00F90F18" w:rsidRPr="00D25BE7">
        <w:rPr>
          <w:rFonts w:asciiTheme="minorHAnsi" w:hAnsiTheme="minorHAnsi"/>
          <w:lang w:val="en-GB"/>
        </w:rPr>
        <w:t xml:space="preserve">, with some annual dips in growth, however the current trend is upward, meaning that there is not just profitability but growth in the profit returns. </w:t>
      </w:r>
      <w:r w:rsidRPr="00D25BE7">
        <w:rPr>
          <w:rFonts w:asciiTheme="minorHAnsi" w:hAnsiTheme="minorHAnsi"/>
          <w:lang w:val="en-GB"/>
        </w:rPr>
        <w:t xml:space="preserve"> </w:t>
      </w:r>
      <w:r w:rsidR="0059247B" w:rsidRPr="00D25BE7">
        <w:rPr>
          <w:rFonts w:asciiTheme="minorHAnsi" w:hAnsiTheme="minorHAnsi"/>
          <w:lang w:val="en-GB"/>
        </w:rPr>
        <w:t xml:space="preserve">The 2016/17 fiscal year was for only 9 months and this has distorted the data somewhat, </w:t>
      </w:r>
      <w:r w:rsidR="00921150">
        <w:rPr>
          <w:rFonts w:asciiTheme="minorHAnsi" w:hAnsiTheme="minorHAnsi"/>
          <w:lang w:val="en-GB"/>
        </w:rPr>
        <w:t>t</w:t>
      </w:r>
      <w:r w:rsidR="0059247B" w:rsidRPr="00D25BE7">
        <w:rPr>
          <w:rFonts w:asciiTheme="minorHAnsi" w:hAnsiTheme="minorHAnsi"/>
          <w:lang w:val="en-GB"/>
        </w:rPr>
        <w:t xml:space="preserve">he dip in revenue growth is a direct result of </w:t>
      </w:r>
      <w:r w:rsidR="0072488E">
        <w:rPr>
          <w:rFonts w:asciiTheme="minorHAnsi" w:hAnsiTheme="minorHAnsi"/>
          <w:lang w:val="en-GB"/>
        </w:rPr>
        <w:t>reporting for</w:t>
      </w:r>
      <w:r w:rsidR="0059247B" w:rsidRPr="00D25BE7">
        <w:rPr>
          <w:rFonts w:asciiTheme="minorHAnsi" w:hAnsiTheme="minorHAnsi"/>
          <w:lang w:val="en-GB"/>
        </w:rPr>
        <w:t xml:space="preserve"> </w:t>
      </w:r>
      <w:r w:rsidR="0072488E">
        <w:rPr>
          <w:rFonts w:asciiTheme="minorHAnsi" w:hAnsiTheme="minorHAnsi"/>
          <w:lang w:val="en-GB"/>
        </w:rPr>
        <w:t>a</w:t>
      </w:r>
      <w:r w:rsidR="0072488E" w:rsidRPr="00D25BE7">
        <w:rPr>
          <w:rFonts w:asciiTheme="minorHAnsi" w:hAnsiTheme="minorHAnsi"/>
          <w:lang w:val="en-GB"/>
        </w:rPr>
        <w:t xml:space="preserve"> </w:t>
      </w:r>
      <w:r w:rsidR="0059247B" w:rsidRPr="00D25BE7">
        <w:rPr>
          <w:rFonts w:asciiTheme="minorHAnsi" w:hAnsiTheme="minorHAnsi"/>
          <w:lang w:val="en-GB"/>
        </w:rPr>
        <w:t xml:space="preserve">a 9-month period </w:t>
      </w:r>
      <w:r w:rsidR="0072488E">
        <w:rPr>
          <w:rFonts w:asciiTheme="minorHAnsi" w:hAnsiTheme="minorHAnsi"/>
          <w:lang w:val="en-GB"/>
        </w:rPr>
        <w:t xml:space="preserve">in comparison </w:t>
      </w:r>
      <w:r w:rsidR="0059247B" w:rsidRPr="00D25BE7">
        <w:rPr>
          <w:rFonts w:asciiTheme="minorHAnsi" w:hAnsiTheme="minorHAnsi"/>
          <w:lang w:val="en-GB"/>
        </w:rPr>
        <w:t xml:space="preserve">to the prior 12-month periods. </w:t>
      </w:r>
    </w:p>
    <w:p w14:paraId="65943A1D" w14:textId="45309F76" w:rsidR="004D3C16" w:rsidRPr="0023147B" w:rsidRDefault="004D3C16" w:rsidP="004D3C16">
      <w:pPr>
        <w:ind w:firstLine="426"/>
        <w:rPr>
          <w:rFonts w:asciiTheme="minorHAnsi" w:hAnsiTheme="minorHAnsi"/>
          <w:b/>
          <w:sz w:val="20"/>
          <w:lang w:val="en-GB"/>
        </w:rPr>
      </w:pPr>
      <w:r w:rsidRPr="0023147B">
        <w:rPr>
          <w:rFonts w:asciiTheme="minorHAnsi" w:hAnsiTheme="minorHAnsi"/>
          <w:b/>
          <w:sz w:val="20"/>
          <w:lang w:val="en-GB"/>
        </w:rPr>
        <w:t>Figure 1</w:t>
      </w:r>
      <w:r w:rsidR="00E85B01">
        <w:rPr>
          <w:rFonts w:asciiTheme="minorHAnsi" w:hAnsiTheme="minorHAnsi"/>
          <w:b/>
          <w:sz w:val="20"/>
          <w:lang w:val="en-GB"/>
        </w:rPr>
        <w:t>9</w:t>
      </w:r>
      <w:r w:rsidRPr="0023147B">
        <w:rPr>
          <w:rFonts w:asciiTheme="minorHAnsi" w:hAnsiTheme="minorHAnsi"/>
          <w:b/>
          <w:sz w:val="20"/>
          <w:lang w:val="en-GB"/>
        </w:rPr>
        <w:t>:</w:t>
      </w:r>
      <w:r w:rsidR="00921150">
        <w:rPr>
          <w:rFonts w:asciiTheme="minorHAnsi" w:hAnsiTheme="minorHAnsi"/>
          <w:b/>
          <w:sz w:val="20"/>
          <w:lang w:val="en-GB"/>
        </w:rPr>
        <w:t xml:space="preserve"> MMB </w:t>
      </w:r>
      <w:r w:rsidR="00E85B01">
        <w:rPr>
          <w:rFonts w:asciiTheme="minorHAnsi" w:hAnsiTheme="minorHAnsi"/>
          <w:b/>
          <w:sz w:val="20"/>
          <w:lang w:val="en-GB"/>
        </w:rPr>
        <w:t>Returns 2014/15 to 2017/18</w:t>
      </w:r>
      <w:r w:rsidR="00921150">
        <w:rPr>
          <w:rFonts w:asciiTheme="minorHAnsi" w:hAnsiTheme="minorHAnsi"/>
          <w:b/>
          <w:sz w:val="20"/>
          <w:lang w:val="en-GB"/>
        </w:rPr>
        <w:t xml:space="preserve"> </w:t>
      </w:r>
    </w:p>
    <w:p w14:paraId="02866233" w14:textId="0A2DFE9E" w:rsidR="004D3C16" w:rsidRPr="00D25BE7" w:rsidRDefault="004D3C16" w:rsidP="004D3C16">
      <w:pPr>
        <w:ind w:left="426"/>
        <w:rPr>
          <w:rFonts w:asciiTheme="minorHAnsi" w:hAnsiTheme="minorHAnsi"/>
          <w:color w:val="000000" w:themeColor="text1"/>
          <w:szCs w:val="22"/>
          <w:lang w:val="en-GB"/>
        </w:rPr>
      </w:pPr>
    </w:p>
    <w:p w14:paraId="7871F512" w14:textId="4EC0B123" w:rsidR="004D3C16" w:rsidRDefault="00971CC8" w:rsidP="004D3C16">
      <w:pPr>
        <w:rPr>
          <w:rFonts w:asciiTheme="minorHAnsi" w:hAnsiTheme="minorHAnsi"/>
          <w:color w:val="000000" w:themeColor="text1"/>
          <w:szCs w:val="22"/>
          <w:lang w:val="en-GB"/>
        </w:rPr>
      </w:pPr>
      <w:r>
        <w:rPr>
          <w:noProof/>
        </w:rPr>
        <w:lastRenderedPageBreak/>
        <w:drawing>
          <wp:inline distT="0" distB="0" distL="0" distR="0" wp14:anchorId="515870F1" wp14:editId="21777F54">
            <wp:extent cx="5140325" cy="2834640"/>
            <wp:effectExtent l="0" t="0" r="15875" b="355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B34716E" w14:textId="5119AF02" w:rsidR="007F7066" w:rsidRPr="00D8583C" w:rsidRDefault="007F7066" w:rsidP="007F7066">
      <w:pPr>
        <w:ind w:firstLine="426"/>
        <w:rPr>
          <w:rFonts w:asciiTheme="minorHAnsi" w:eastAsia="CenturyGothic" w:hAnsiTheme="minorHAnsi" w:cs="Arial"/>
          <w:i/>
          <w:szCs w:val="22"/>
        </w:rPr>
      </w:pPr>
      <w:r>
        <w:rPr>
          <w:rFonts w:asciiTheme="minorHAnsi" w:hAnsiTheme="minorHAnsi" w:cs="Arial"/>
          <w:bCs/>
          <w:i/>
          <w:color w:val="000000"/>
          <w:sz w:val="20"/>
        </w:rPr>
        <w:t>Source: MMB</w:t>
      </w:r>
      <w:r w:rsidRPr="00D8583C">
        <w:rPr>
          <w:rFonts w:asciiTheme="minorHAnsi" w:hAnsiTheme="minorHAnsi" w:cs="Arial"/>
          <w:bCs/>
          <w:i/>
          <w:color w:val="000000"/>
          <w:sz w:val="20"/>
        </w:rPr>
        <w:t xml:space="preserve"> AFS Various Years</w:t>
      </w:r>
    </w:p>
    <w:p w14:paraId="0325ACEE" w14:textId="77777777" w:rsidR="00971CC8" w:rsidRPr="00D25BE7" w:rsidRDefault="00971CC8" w:rsidP="004D3C16">
      <w:pPr>
        <w:rPr>
          <w:rFonts w:asciiTheme="minorHAnsi" w:hAnsiTheme="minorHAnsi"/>
          <w:color w:val="000000" w:themeColor="text1"/>
          <w:szCs w:val="22"/>
          <w:lang w:val="en-GB"/>
        </w:rPr>
      </w:pPr>
    </w:p>
    <w:p w14:paraId="46D3BCBC" w14:textId="218DB915" w:rsidR="004D3C16" w:rsidRPr="00D25BE7" w:rsidRDefault="004D3C16" w:rsidP="004D3C16">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Relevant performance data for FY’1</w:t>
      </w:r>
      <w:r w:rsidR="00921150">
        <w:rPr>
          <w:rFonts w:asciiTheme="minorHAnsi" w:hAnsiTheme="minorHAnsi"/>
          <w:color w:val="000000" w:themeColor="text1"/>
          <w:lang w:val="en-GB"/>
        </w:rPr>
        <w:t>8</w:t>
      </w:r>
      <w:r w:rsidRPr="00D25BE7">
        <w:rPr>
          <w:rFonts w:asciiTheme="minorHAnsi" w:hAnsiTheme="minorHAnsi"/>
          <w:color w:val="000000" w:themeColor="text1"/>
          <w:lang w:val="en-GB"/>
        </w:rPr>
        <w:t xml:space="preserve"> is:</w:t>
      </w:r>
    </w:p>
    <w:p w14:paraId="6E5BA90D" w14:textId="75625B70" w:rsidR="005C75D5" w:rsidRPr="00243C32" w:rsidRDefault="004D3C16" w:rsidP="004D3C16">
      <w:pPr>
        <w:rPr>
          <w:rFonts w:asciiTheme="minorHAnsi" w:hAnsiTheme="minorHAnsi"/>
          <w:b/>
          <w:sz w:val="20"/>
          <w:lang w:val="en-GB"/>
        </w:rPr>
      </w:pPr>
      <w:r w:rsidRPr="00243C32">
        <w:rPr>
          <w:rFonts w:asciiTheme="minorHAnsi" w:hAnsiTheme="minorHAnsi"/>
          <w:b/>
          <w:sz w:val="20"/>
          <w:lang w:val="en-GB"/>
        </w:rPr>
        <w:t xml:space="preserve">Table </w:t>
      </w:r>
      <w:r w:rsidR="0008678A" w:rsidRPr="00243C32">
        <w:rPr>
          <w:rFonts w:asciiTheme="minorHAnsi" w:hAnsiTheme="minorHAnsi"/>
          <w:b/>
          <w:sz w:val="20"/>
          <w:lang w:val="en-GB"/>
        </w:rPr>
        <w:t>1</w:t>
      </w:r>
      <w:r w:rsidR="005C75D5">
        <w:rPr>
          <w:rFonts w:asciiTheme="minorHAnsi" w:hAnsiTheme="minorHAnsi"/>
          <w:b/>
          <w:sz w:val="20"/>
          <w:lang w:val="en-GB"/>
        </w:rPr>
        <w:t>6</w:t>
      </w:r>
      <w:r w:rsidRPr="00243C32">
        <w:rPr>
          <w:rFonts w:asciiTheme="minorHAnsi" w:hAnsiTheme="minorHAnsi"/>
          <w:b/>
          <w:sz w:val="20"/>
          <w:lang w:val="en-GB"/>
        </w:rPr>
        <w:t xml:space="preserve">: Performance Highlights – </w:t>
      </w:r>
      <w:proofErr w:type="spellStart"/>
      <w:r w:rsidR="0008678A" w:rsidRPr="00243C32">
        <w:rPr>
          <w:rFonts w:asciiTheme="minorHAnsi" w:hAnsiTheme="minorHAnsi"/>
          <w:b/>
          <w:sz w:val="20"/>
          <w:lang w:val="en-GB"/>
        </w:rPr>
        <w:t>Maluti</w:t>
      </w:r>
      <w:proofErr w:type="spellEnd"/>
      <w:r w:rsidR="0008678A" w:rsidRPr="00243C32">
        <w:rPr>
          <w:rFonts w:asciiTheme="minorHAnsi" w:hAnsiTheme="minorHAnsi"/>
          <w:b/>
          <w:sz w:val="20"/>
          <w:lang w:val="en-GB"/>
        </w:rPr>
        <w:t xml:space="preserve"> Mountain Brewery</w:t>
      </w:r>
    </w:p>
    <w:p w14:paraId="43ADB43F" w14:textId="77777777" w:rsidR="005C75D5" w:rsidRPr="00D25BE7" w:rsidRDefault="005C75D5" w:rsidP="004D3C16">
      <w:pPr>
        <w:rPr>
          <w:rFonts w:asciiTheme="minorHAnsi" w:hAnsiTheme="minorHAnsi"/>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364"/>
        <w:gridCol w:w="1403"/>
        <w:gridCol w:w="1276"/>
        <w:gridCol w:w="1276"/>
        <w:gridCol w:w="1276"/>
      </w:tblGrid>
      <w:tr w:rsidR="00C11AA4" w:rsidRPr="007F7066" w14:paraId="708DDFF6" w14:textId="77777777" w:rsidTr="009D2028">
        <w:trPr>
          <w:trHeight w:val="360"/>
          <w:tblHeader/>
          <w:jc w:val="center"/>
        </w:trPr>
        <w:tc>
          <w:tcPr>
            <w:tcW w:w="2007" w:type="dxa"/>
            <w:shd w:val="clear" w:color="auto" w:fill="D9D9D9" w:themeFill="background1" w:themeFillShade="D9"/>
            <w:noWrap/>
            <w:vAlign w:val="center"/>
            <w:hideMark/>
          </w:tcPr>
          <w:p w14:paraId="42F60E3B" w14:textId="77777777" w:rsidR="00C11AA4" w:rsidRPr="009D2028" w:rsidRDefault="00C11AA4" w:rsidP="004D3C16">
            <w:pPr>
              <w:ind w:firstLine="42"/>
              <w:rPr>
                <w:rFonts w:asciiTheme="minorHAnsi" w:hAnsiTheme="minorHAnsi"/>
                <w:sz w:val="18"/>
                <w:szCs w:val="18"/>
                <w:lang w:eastAsia="en-GB"/>
              </w:rPr>
            </w:pPr>
            <w:r w:rsidRPr="009D2028">
              <w:rPr>
                <w:rFonts w:asciiTheme="minorHAnsi" w:hAnsiTheme="minorHAnsi"/>
                <w:sz w:val="18"/>
                <w:szCs w:val="18"/>
                <w:lang w:eastAsia="en-GB"/>
              </w:rPr>
              <w:t>Performance Highlights (M '000)</w:t>
            </w:r>
          </w:p>
        </w:tc>
        <w:tc>
          <w:tcPr>
            <w:tcW w:w="1364" w:type="dxa"/>
            <w:shd w:val="clear" w:color="auto" w:fill="D9D9D9" w:themeFill="background1" w:themeFillShade="D9"/>
            <w:vAlign w:val="center"/>
          </w:tcPr>
          <w:p w14:paraId="748CC313" w14:textId="77777777" w:rsidR="00C11AA4" w:rsidRPr="009D2028" w:rsidRDefault="00C11AA4" w:rsidP="004D3C16">
            <w:pPr>
              <w:jc w:val="center"/>
              <w:rPr>
                <w:rFonts w:asciiTheme="minorHAnsi" w:hAnsiTheme="minorHAnsi" w:cstheme="minorHAnsi"/>
                <w:b/>
                <w:bCs/>
                <w:color w:val="000000"/>
                <w:sz w:val="18"/>
                <w:szCs w:val="18"/>
                <w:lang w:eastAsia="en-GB"/>
              </w:rPr>
            </w:pPr>
            <w:r w:rsidRPr="009D2028">
              <w:rPr>
                <w:rFonts w:asciiTheme="minorHAnsi" w:hAnsiTheme="minorHAnsi" w:cstheme="minorHAnsi"/>
                <w:b/>
                <w:bCs/>
                <w:sz w:val="18"/>
                <w:szCs w:val="18"/>
                <w:lang w:eastAsia="en-GB"/>
              </w:rPr>
              <w:t>2014/15</w:t>
            </w:r>
          </w:p>
        </w:tc>
        <w:tc>
          <w:tcPr>
            <w:tcW w:w="1403" w:type="dxa"/>
            <w:shd w:val="clear" w:color="auto" w:fill="D9D9D9" w:themeFill="background1" w:themeFillShade="D9"/>
            <w:vAlign w:val="center"/>
          </w:tcPr>
          <w:p w14:paraId="5724A158" w14:textId="77777777" w:rsidR="00C11AA4" w:rsidRPr="009D2028" w:rsidRDefault="00C11AA4" w:rsidP="004D3C16">
            <w:pPr>
              <w:jc w:val="center"/>
              <w:rPr>
                <w:rFonts w:asciiTheme="minorHAnsi" w:hAnsiTheme="minorHAnsi" w:cstheme="minorHAnsi"/>
                <w:b/>
                <w:bCs/>
                <w:color w:val="000000"/>
                <w:sz w:val="18"/>
                <w:szCs w:val="18"/>
                <w:lang w:eastAsia="en-GB"/>
              </w:rPr>
            </w:pPr>
            <w:r w:rsidRPr="009D2028">
              <w:rPr>
                <w:rFonts w:asciiTheme="minorHAnsi" w:hAnsiTheme="minorHAnsi" w:cstheme="minorHAnsi"/>
                <w:b/>
                <w:bCs/>
                <w:sz w:val="18"/>
                <w:szCs w:val="18"/>
                <w:lang w:eastAsia="en-GB"/>
              </w:rPr>
              <w:t>2015/16</w:t>
            </w:r>
          </w:p>
        </w:tc>
        <w:tc>
          <w:tcPr>
            <w:tcW w:w="1276" w:type="dxa"/>
            <w:shd w:val="clear" w:color="auto" w:fill="D9D9D9" w:themeFill="background1" w:themeFillShade="D9"/>
            <w:vAlign w:val="center"/>
            <w:hideMark/>
          </w:tcPr>
          <w:p w14:paraId="334E871C" w14:textId="3913B282" w:rsidR="00C11AA4" w:rsidRPr="009D2028" w:rsidRDefault="00C11AA4" w:rsidP="004D3C16">
            <w:pPr>
              <w:jc w:val="center"/>
              <w:rPr>
                <w:rFonts w:asciiTheme="minorHAnsi" w:hAnsiTheme="minorHAnsi" w:cstheme="minorHAnsi"/>
                <w:b/>
                <w:bCs/>
                <w:sz w:val="18"/>
                <w:szCs w:val="18"/>
                <w:lang w:eastAsia="en-GB"/>
              </w:rPr>
            </w:pPr>
            <w:r w:rsidRPr="009D2028">
              <w:rPr>
                <w:rFonts w:asciiTheme="minorHAnsi" w:hAnsiTheme="minorHAnsi" w:cstheme="minorHAnsi"/>
                <w:b/>
                <w:bCs/>
                <w:sz w:val="18"/>
                <w:szCs w:val="18"/>
                <w:lang w:eastAsia="en-GB"/>
              </w:rPr>
              <w:t>9 months 2016/17</w:t>
            </w:r>
          </w:p>
        </w:tc>
        <w:tc>
          <w:tcPr>
            <w:tcW w:w="1276" w:type="dxa"/>
            <w:shd w:val="clear" w:color="auto" w:fill="D9D9D9" w:themeFill="background1" w:themeFillShade="D9"/>
            <w:vAlign w:val="center"/>
          </w:tcPr>
          <w:p w14:paraId="025CA47F" w14:textId="0A8442CA" w:rsidR="00C11AA4" w:rsidRPr="009D2028" w:rsidRDefault="00C11AA4" w:rsidP="004D3C16">
            <w:pPr>
              <w:jc w:val="center"/>
              <w:rPr>
                <w:rFonts w:asciiTheme="minorHAnsi" w:hAnsiTheme="minorHAnsi" w:cstheme="minorHAnsi"/>
                <w:b/>
                <w:bCs/>
                <w:color w:val="000000"/>
                <w:sz w:val="18"/>
                <w:szCs w:val="18"/>
                <w:lang w:eastAsia="en-GB"/>
              </w:rPr>
            </w:pPr>
            <w:r w:rsidRPr="009D2028">
              <w:rPr>
                <w:rFonts w:asciiTheme="minorHAnsi" w:hAnsiTheme="minorHAnsi" w:cstheme="minorHAnsi"/>
                <w:b/>
                <w:bCs/>
                <w:sz w:val="18"/>
                <w:szCs w:val="18"/>
                <w:lang w:eastAsia="en-GB"/>
              </w:rPr>
              <w:t>2017/18</w:t>
            </w:r>
          </w:p>
        </w:tc>
        <w:tc>
          <w:tcPr>
            <w:tcW w:w="1276" w:type="dxa"/>
            <w:shd w:val="clear" w:color="auto" w:fill="D9D9D9" w:themeFill="background1" w:themeFillShade="D9"/>
            <w:noWrap/>
            <w:vAlign w:val="center"/>
            <w:hideMark/>
          </w:tcPr>
          <w:p w14:paraId="66A2045A" w14:textId="62E3B560" w:rsidR="00C11AA4" w:rsidRPr="009D2028" w:rsidRDefault="00C11AA4" w:rsidP="004D3C16">
            <w:pPr>
              <w:jc w:val="center"/>
              <w:rPr>
                <w:rFonts w:asciiTheme="minorHAnsi" w:hAnsiTheme="minorHAnsi" w:cstheme="minorHAnsi"/>
                <w:b/>
                <w:bCs/>
                <w:color w:val="000000"/>
                <w:sz w:val="18"/>
                <w:szCs w:val="18"/>
                <w:lang w:eastAsia="en-GB"/>
              </w:rPr>
            </w:pPr>
            <w:r w:rsidRPr="009D2028">
              <w:rPr>
                <w:rFonts w:asciiTheme="minorHAnsi" w:hAnsiTheme="minorHAnsi" w:cstheme="minorHAnsi"/>
                <w:b/>
                <w:bCs/>
                <w:color w:val="000000"/>
                <w:sz w:val="18"/>
                <w:szCs w:val="18"/>
                <w:lang w:eastAsia="en-GB"/>
              </w:rPr>
              <w:t>4-yr Average</w:t>
            </w:r>
          </w:p>
        </w:tc>
      </w:tr>
      <w:tr w:rsidR="00C11AA4" w:rsidRPr="007F7066" w14:paraId="4496CBCD" w14:textId="77777777" w:rsidTr="009D2028">
        <w:trPr>
          <w:trHeight w:val="360"/>
          <w:jc w:val="center"/>
        </w:trPr>
        <w:tc>
          <w:tcPr>
            <w:tcW w:w="2007" w:type="dxa"/>
            <w:shd w:val="clear" w:color="000000" w:fill="FFFFFF"/>
            <w:noWrap/>
            <w:vAlign w:val="center"/>
            <w:hideMark/>
          </w:tcPr>
          <w:p w14:paraId="0DD5D675" w14:textId="77777777" w:rsidR="00C11AA4" w:rsidRPr="009D2028" w:rsidRDefault="00C11AA4" w:rsidP="004D3C16">
            <w:pPr>
              <w:rPr>
                <w:rFonts w:asciiTheme="minorHAnsi" w:hAnsiTheme="minorHAnsi" w:cstheme="minorHAnsi"/>
                <w:sz w:val="18"/>
                <w:szCs w:val="18"/>
                <w:lang w:eastAsia="en-GB"/>
              </w:rPr>
            </w:pPr>
            <w:r w:rsidRPr="009D2028">
              <w:rPr>
                <w:rFonts w:asciiTheme="minorHAnsi" w:hAnsiTheme="minorHAnsi" w:cstheme="minorHAnsi"/>
                <w:sz w:val="18"/>
                <w:szCs w:val="18"/>
                <w:lang w:eastAsia="en-GB"/>
              </w:rPr>
              <w:t>Total Revenue</w:t>
            </w:r>
          </w:p>
        </w:tc>
        <w:tc>
          <w:tcPr>
            <w:tcW w:w="1364" w:type="dxa"/>
            <w:vAlign w:val="center"/>
          </w:tcPr>
          <w:p w14:paraId="5F91042B" w14:textId="15A20BC4"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733,666</w:t>
            </w:r>
          </w:p>
        </w:tc>
        <w:tc>
          <w:tcPr>
            <w:tcW w:w="1403" w:type="dxa"/>
            <w:vAlign w:val="center"/>
          </w:tcPr>
          <w:p w14:paraId="5959D244" w14:textId="207BFF7D"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830,793</w:t>
            </w:r>
          </w:p>
        </w:tc>
        <w:tc>
          <w:tcPr>
            <w:tcW w:w="1276" w:type="dxa"/>
            <w:shd w:val="clear" w:color="auto" w:fill="auto"/>
            <w:noWrap/>
            <w:vAlign w:val="center"/>
            <w:hideMark/>
          </w:tcPr>
          <w:p w14:paraId="65E46314" w14:textId="3DBA009B"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701,387</w:t>
            </w:r>
          </w:p>
        </w:tc>
        <w:tc>
          <w:tcPr>
            <w:tcW w:w="1276" w:type="dxa"/>
            <w:vAlign w:val="center"/>
          </w:tcPr>
          <w:p w14:paraId="44D6E763" w14:textId="403CC47E" w:rsidR="00C11AA4" w:rsidRPr="009D2028" w:rsidRDefault="00813BDD" w:rsidP="00813BDD">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990,845</w:t>
            </w:r>
          </w:p>
        </w:tc>
        <w:tc>
          <w:tcPr>
            <w:tcW w:w="1276" w:type="dxa"/>
            <w:shd w:val="clear" w:color="auto" w:fill="auto"/>
            <w:noWrap/>
            <w:vAlign w:val="center"/>
            <w:hideMark/>
          </w:tcPr>
          <w:p w14:paraId="05B9D115" w14:textId="5502319F" w:rsidR="00C11AA4" w:rsidRPr="009D2028" w:rsidRDefault="00E5487F" w:rsidP="004D3C16">
            <w:pPr>
              <w:jc w:val="right"/>
              <w:rPr>
                <w:rFonts w:asciiTheme="minorHAnsi" w:hAnsiTheme="minorHAnsi" w:cstheme="minorHAnsi"/>
                <w:color w:val="000000" w:themeColor="text1"/>
                <w:sz w:val="18"/>
                <w:szCs w:val="18"/>
                <w:highlight w:val="yellow"/>
                <w:lang w:eastAsia="en-GB"/>
              </w:rPr>
            </w:pPr>
            <w:r w:rsidRPr="009D2028">
              <w:rPr>
                <w:rFonts w:asciiTheme="minorHAnsi" w:hAnsiTheme="minorHAnsi" w:cstheme="minorHAnsi"/>
                <w:color w:val="000000" w:themeColor="text1"/>
                <w:sz w:val="18"/>
                <w:szCs w:val="18"/>
                <w:lang w:eastAsia="en-GB"/>
              </w:rPr>
              <w:t>814,173</w:t>
            </w:r>
          </w:p>
        </w:tc>
      </w:tr>
      <w:tr w:rsidR="00C11AA4" w:rsidRPr="007F7066" w14:paraId="59B53C7E" w14:textId="77777777" w:rsidTr="009D2028">
        <w:trPr>
          <w:trHeight w:val="360"/>
          <w:jc w:val="center"/>
        </w:trPr>
        <w:tc>
          <w:tcPr>
            <w:tcW w:w="2007" w:type="dxa"/>
            <w:shd w:val="clear" w:color="000000" w:fill="FFFFFF"/>
            <w:noWrap/>
            <w:vAlign w:val="center"/>
            <w:hideMark/>
          </w:tcPr>
          <w:p w14:paraId="681541A6" w14:textId="77777777" w:rsidR="00C11AA4" w:rsidRPr="009D2028" w:rsidRDefault="00C11AA4" w:rsidP="004D3C16">
            <w:pPr>
              <w:rPr>
                <w:rFonts w:asciiTheme="minorHAnsi" w:hAnsiTheme="minorHAnsi" w:cstheme="minorHAnsi"/>
                <w:sz w:val="18"/>
                <w:szCs w:val="18"/>
                <w:lang w:eastAsia="en-GB"/>
              </w:rPr>
            </w:pPr>
            <w:r w:rsidRPr="009D2028">
              <w:rPr>
                <w:rFonts w:asciiTheme="minorHAnsi" w:hAnsiTheme="minorHAnsi" w:cstheme="minorHAnsi"/>
                <w:sz w:val="18"/>
                <w:szCs w:val="18"/>
                <w:lang w:eastAsia="en-GB"/>
              </w:rPr>
              <w:t>Net Operating Profit After Tax</w:t>
            </w:r>
          </w:p>
        </w:tc>
        <w:tc>
          <w:tcPr>
            <w:tcW w:w="1364" w:type="dxa"/>
            <w:vAlign w:val="center"/>
          </w:tcPr>
          <w:p w14:paraId="128476C4" w14:textId="634844C3"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96,833</w:t>
            </w:r>
          </w:p>
        </w:tc>
        <w:tc>
          <w:tcPr>
            <w:tcW w:w="1403" w:type="dxa"/>
            <w:vAlign w:val="center"/>
          </w:tcPr>
          <w:p w14:paraId="7ECD0189" w14:textId="5B557716"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118,512</w:t>
            </w:r>
          </w:p>
        </w:tc>
        <w:tc>
          <w:tcPr>
            <w:tcW w:w="1276" w:type="dxa"/>
            <w:shd w:val="clear" w:color="auto" w:fill="auto"/>
            <w:noWrap/>
            <w:vAlign w:val="center"/>
            <w:hideMark/>
          </w:tcPr>
          <w:p w14:paraId="19C0D7CA" w14:textId="5F91AF34"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104,324</w:t>
            </w:r>
          </w:p>
        </w:tc>
        <w:tc>
          <w:tcPr>
            <w:tcW w:w="1276" w:type="dxa"/>
            <w:vAlign w:val="center"/>
          </w:tcPr>
          <w:p w14:paraId="1C0ADE93" w14:textId="6317F0C8" w:rsidR="00C11AA4" w:rsidRPr="009D2028" w:rsidRDefault="00493152" w:rsidP="00813BDD">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137,466</w:t>
            </w:r>
          </w:p>
        </w:tc>
        <w:tc>
          <w:tcPr>
            <w:tcW w:w="1276" w:type="dxa"/>
            <w:shd w:val="clear" w:color="auto" w:fill="auto"/>
            <w:noWrap/>
            <w:vAlign w:val="center"/>
            <w:hideMark/>
          </w:tcPr>
          <w:p w14:paraId="16230CF8" w14:textId="5036762E" w:rsidR="00C11AA4" w:rsidRPr="009D2028" w:rsidRDefault="00E5487F" w:rsidP="004D3C16">
            <w:pPr>
              <w:jc w:val="right"/>
              <w:rPr>
                <w:rFonts w:asciiTheme="minorHAnsi" w:hAnsiTheme="minorHAnsi" w:cstheme="minorHAnsi"/>
                <w:color w:val="000000" w:themeColor="text1"/>
                <w:sz w:val="18"/>
                <w:szCs w:val="18"/>
                <w:highlight w:val="yellow"/>
                <w:lang w:eastAsia="en-GB"/>
              </w:rPr>
            </w:pPr>
            <w:r w:rsidRPr="009D2028">
              <w:rPr>
                <w:rFonts w:asciiTheme="minorHAnsi" w:hAnsiTheme="minorHAnsi" w:cstheme="minorHAnsi"/>
                <w:color w:val="000000" w:themeColor="text1"/>
                <w:sz w:val="18"/>
                <w:szCs w:val="18"/>
                <w:lang w:eastAsia="en-GB"/>
              </w:rPr>
              <w:t>114,284</w:t>
            </w:r>
          </w:p>
        </w:tc>
      </w:tr>
      <w:tr w:rsidR="00C11AA4" w:rsidRPr="007F7066" w14:paraId="2E554D58" w14:textId="77777777" w:rsidTr="009D2028">
        <w:trPr>
          <w:trHeight w:val="360"/>
          <w:jc w:val="center"/>
        </w:trPr>
        <w:tc>
          <w:tcPr>
            <w:tcW w:w="2007" w:type="dxa"/>
            <w:shd w:val="clear" w:color="000000" w:fill="FFFFFF"/>
            <w:noWrap/>
            <w:vAlign w:val="center"/>
            <w:hideMark/>
          </w:tcPr>
          <w:p w14:paraId="18DE82AB" w14:textId="29F70E32" w:rsidR="00C11AA4" w:rsidRPr="009D2028" w:rsidRDefault="00C11AA4" w:rsidP="004D3C16">
            <w:pPr>
              <w:rPr>
                <w:rFonts w:asciiTheme="minorHAnsi" w:hAnsiTheme="minorHAnsi" w:cstheme="minorHAnsi"/>
                <w:sz w:val="18"/>
                <w:szCs w:val="18"/>
                <w:lang w:eastAsia="en-GB"/>
              </w:rPr>
            </w:pPr>
            <w:r w:rsidRPr="009D2028">
              <w:rPr>
                <w:rFonts w:asciiTheme="minorHAnsi" w:hAnsiTheme="minorHAnsi" w:cstheme="minorHAnsi"/>
                <w:sz w:val="18"/>
                <w:szCs w:val="18"/>
                <w:lang w:eastAsia="en-GB"/>
              </w:rPr>
              <w:t>Dividends Paid to GoL</w:t>
            </w:r>
          </w:p>
        </w:tc>
        <w:tc>
          <w:tcPr>
            <w:tcW w:w="1364" w:type="dxa"/>
            <w:vAlign w:val="center"/>
          </w:tcPr>
          <w:p w14:paraId="2B47AC3E" w14:textId="2171B4C1"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 xml:space="preserve">3,067  </w:t>
            </w:r>
          </w:p>
        </w:tc>
        <w:tc>
          <w:tcPr>
            <w:tcW w:w="1403" w:type="dxa"/>
            <w:vAlign w:val="center"/>
          </w:tcPr>
          <w:p w14:paraId="77A7A35B" w14:textId="4F2DFFAD"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 xml:space="preserve">4,816  </w:t>
            </w:r>
          </w:p>
        </w:tc>
        <w:tc>
          <w:tcPr>
            <w:tcW w:w="1276" w:type="dxa"/>
            <w:shd w:val="clear" w:color="auto" w:fill="auto"/>
            <w:noWrap/>
            <w:vAlign w:val="center"/>
            <w:hideMark/>
          </w:tcPr>
          <w:p w14:paraId="7532DC48" w14:textId="543D4137"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 xml:space="preserve">2,275  </w:t>
            </w:r>
          </w:p>
        </w:tc>
        <w:tc>
          <w:tcPr>
            <w:tcW w:w="1276" w:type="dxa"/>
            <w:vAlign w:val="center"/>
          </w:tcPr>
          <w:p w14:paraId="4C8E359F" w14:textId="287D23FD" w:rsidR="00C11AA4" w:rsidRPr="009D2028" w:rsidRDefault="00493152" w:rsidP="00813BDD">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5,384</w:t>
            </w:r>
          </w:p>
        </w:tc>
        <w:tc>
          <w:tcPr>
            <w:tcW w:w="1276" w:type="dxa"/>
            <w:shd w:val="clear" w:color="auto" w:fill="auto"/>
            <w:noWrap/>
            <w:vAlign w:val="center"/>
            <w:hideMark/>
          </w:tcPr>
          <w:p w14:paraId="3B39AAAC" w14:textId="54609F3F"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3,</w:t>
            </w:r>
            <w:r w:rsidR="00E5487F" w:rsidRPr="009D2028">
              <w:rPr>
                <w:rFonts w:asciiTheme="minorHAnsi" w:hAnsiTheme="minorHAnsi" w:cstheme="minorHAnsi"/>
                <w:color w:val="000000" w:themeColor="text1"/>
                <w:sz w:val="18"/>
                <w:szCs w:val="18"/>
                <w:lang w:eastAsia="en-GB"/>
              </w:rPr>
              <w:t>8</w:t>
            </w:r>
            <w:r w:rsidRPr="009D2028">
              <w:rPr>
                <w:rFonts w:asciiTheme="minorHAnsi" w:hAnsiTheme="minorHAnsi" w:cstheme="minorHAnsi"/>
                <w:color w:val="000000" w:themeColor="text1"/>
                <w:sz w:val="18"/>
                <w:szCs w:val="18"/>
                <w:lang w:eastAsia="en-GB"/>
              </w:rPr>
              <w:t xml:space="preserve">86 </w:t>
            </w:r>
          </w:p>
        </w:tc>
      </w:tr>
      <w:tr w:rsidR="00C11AA4" w:rsidRPr="007F7066" w14:paraId="2C79E71B" w14:textId="77777777" w:rsidTr="009D2028">
        <w:trPr>
          <w:trHeight w:val="360"/>
          <w:jc w:val="center"/>
        </w:trPr>
        <w:tc>
          <w:tcPr>
            <w:tcW w:w="2007" w:type="dxa"/>
            <w:shd w:val="clear" w:color="000000" w:fill="FFFFFF"/>
            <w:noWrap/>
            <w:vAlign w:val="center"/>
            <w:hideMark/>
          </w:tcPr>
          <w:p w14:paraId="1985000A" w14:textId="77777777" w:rsidR="00C11AA4" w:rsidRPr="009D2028" w:rsidRDefault="00C11AA4" w:rsidP="004D3C16">
            <w:pPr>
              <w:rPr>
                <w:rFonts w:asciiTheme="minorHAnsi" w:hAnsiTheme="minorHAnsi" w:cstheme="minorHAnsi"/>
                <w:sz w:val="18"/>
                <w:szCs w:val="18"/>
                <w:lang w:eastAsia="en-GB"/>
              </w:rPr>
            </w:pPr>
            <w:r w:rsidRPr="009D2028">
              <w:rPr>
                <w:rFonts w:asciiTheme="minorHAnsi" w:hAnsiTheme="minorHAnsi" w:cstheme="minorHAnsi"/>
                <w:sz w:val="18"/>
                <w:szCs w:val="18"/>
                <w:lang w:eastAsia="en-GB"/>
              </w:rPr>
              <w:t>Total Assets</w:t>
            </w:r>
          </w:p>
        </w:tc>
        <w:tc>
          <w:tcPr>
            <w:tcW w:w="1364" w:type="dxa"/>
            <w:vAlign w:val="center"/>
          </w:tcPr>
          <w:p w14:paraId="1E5F35A9" w14:textId="3DAE3B71"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414,972</w:t>
            </w:r>
          </w:p>
        </w:tc>
        <w:tc>
          <w:tcPr>
            <w:tcW w:w="1403" w:type="dxa"/>
            <w:vAlign w:val="center"/>
          </w:tcPr>
          <w:p w14:paraId="459A4672" w14:textId="745E1973"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461,653</w:t>
            </w:r>
          </w:p>
        </w:tc>
        <w:tc>
          <w:tcPr>
            <w:tcW w:w="1276" w:type="dxa"/>
            <w:shd w:val="clear" w:color="auto" w:fill="auto"/>
            <w:noWrap/>
            <w:vAlign w:val="center"/>
          </w:tcPr>
          <w:p w14:paraId="4A8D6A24" w14:textId="07CDBB6C"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595,852</w:t>
            </w:r>
          </w:p>
        </w:tc>
        <w:tc>
          <w:tcPr>
            <w:tcW w:w="1276" w:type="dxa"/>
            <w:vAlign w:val="center"/>
          </w:tcPr>
          <w:p w14:paraId="101AD705" w14:textId="63DA79FF" w:rsidR="00C11AA4" w:rsidRPr="009D2028" w:rsidRDefault="00493152" w:rsidP="00813BDD">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736,280</w:t>
            </w:r>
          </w:p>
        </w:tc>
        <w:tc>
          <w:tcPr>
            <w:tcW w:w="1276" w:type="dxa"/>
            <w:shd w:val="clear" w:color="auto" w:fill="auto"/>
            <w:noWrap/>
            <w:vAlign w:val="center"/>
            <w:hideMark/>
          </w:tcPr>
          <w:p w14:paraId="2E2DC20B" w14:textId="19CA1A3E" w:rsidR="00C11AA4" w:rsidRPr="009D2028" w:rsidRDefault="00E5487F" w:rsidP="004D3C16">
            <w:pPr>
              <w:keepNext/>
              <w:keepLines/>
              <w:spacing w:before="200"/>
              <w:jc w:val="right"/>
              <w:outlineLvl w:val="3"/>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552,189</w:t>
            </w:r>
          </w:p>
        </w:tc>
      </w:tr>
      <w:tr w:rsidR="00C11AA4" w:rsidRPr="007F7066" w14:paraId="40A4A788" w14:textId="77777777" w:rsidTr="009D2028">
        <w:trPr>
          <w:trHeight w:val="360"/>
          <w:jc w:val="center"/>
        </w:trPr>
        <w:tc>
          <w:tcPr>
            <w:tcW w:w="2007" w:type="dxa"/>
            <w:shd w:val="clear" w:color="000000" w:fill="FFFFFF"/>
            <w:noWrap/>
            <w:vAlign w:val="center"/>
            <w:hideMark/>
          </w:tcPr>
          <w:p w14:paraId="5BA3B8BE" w14:textId="77777777" w:rsidR="00C11AA4" w:rsidRPr="009D2028" w:rsidRDefault="00C11AA4" w:rsidP="004D3C16">
            <w:pPr>
              <w:rPr>
                <w:rFonts w:asciiTheme="minorHAnsi" w:hAnsiTheme="minorHAnsi" w:cstheme="minorHAnsi"/>
                <w:sz w:val="18"/>
                <w:szCs w:val="18"/>
                <w:lang w:eastAsia="en-GB"/>
              </w:rPr>
            </w:pPr>
            <w:r w:rsidRPr="009D2028">
              <w:rPr>
                <w:rFonts w:asciiTheme="minorHAnsi" w:hAnsiTheme="minorHAnsi" w:cstheme="minorHAnsi"/>
                <w:sz w:val="18"/>
                <w:szCs w:val="18"/>
                <w:lang w:eastAsia="en-GB"/>
              </w:rPr>
              <w:t>Total Liabilities</w:t>
            </w:r>
          </w:p>
        </w:tc>
        <w:tc>
          <w:tcPr>
            <w:tcW w:w="1364" w:type="dxa"/>
            <w:vAlign w:val="center"/>
          </w:tcPr>
          <w:p w14:paraId="32F34B3C" w14:textId="6517FB54"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191,010</w:t>
            </w:r>
          </w:p>
        </w:tc>
        <w:tc>
          <w:tcPr>
            <w:tcW w:w="1403" w:type="dxa"/>
            <w:vAlign w:val="center"/>
          </w:tcPr>
          <w:p w14:paraId="3A99FA17" w14:textId="7E6024DC"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223,093</w:t>
            </w:r>
          </w:p>
        </w:tc>
        <w:tc>
          <w:tcPr>
            <w:tcW w:w="1276" w:type="dxa"/>
            <w:shd w:val="clear" w:color="auto" w:fill="auto"/>
            <w:noWrap/>
            <w:vAlign w:val="center"/>
          </w:tcPr>
          <w:p w14:paraId="401C0E29" w14:textId="65DC521E"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300,872</w:t>
            </w:r>
          </w:p>
        </w:tc>
        <w:tc>
          <w:tcPr>
            <w:tcW w:w="1276" w:type="dxa"/>
            <w:vAlign w:val="center"/>
          </w:tcPr>
          <w:p w14:paraId="503BDDFD" w14:textId="049C7F54" w:rsidR="00C11AA4" w:rsidRPr="009D2028" w:rsidRDefault="00860F7E" w:rsidP="00813BDD">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417,911</w:t>
            </w:r>
          </w:p>
        </w:tc>
        <w:tc>
          <w:tcPr>
            <w:tcW w:w="1276" w:type="dxa"/>
            <w:shd w:val="clear" w:color="auto" w:fill="auto"/>
            <w:noWrap/>
            <w:vAlign w:val="center"/>
            <w:hideMark/>
          </w:tcPr>
          <w:p w14:paraId="0F581184" w14:textId="1150B9A8" w:rsidR="00C11AA4" w:rsidRPr="009D2028" w:rsidRDefault="00C11AA4" w:rsidP="0023147B">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2</w:t>
            </w:r>
            <w:r w:rsidR="00E5487F" w:rsidRPr="009D2028">
              <w:rPr>
                <w:rFonts w:asciiTheme="minorHAnsi" w:hAnsiTheme="minorHAnsi" w:cstheme="minorHAnsi"/>
                <w:color w:val="000000" w:themeColor="text1"/>
                <w:sz w:val="18"/>
                <w:szCs w:val="18"/>
                <w:lang w:eastAsia="en-GB"/>
              </w:rPr>
              <w:t>83</w:t>
            </w:r>
            <w:r w:rsidRPr="009D2028">
              <w:rPr>
                <w:rFonts w:asciiTheme="minorHAnsi" w:hAnsiTheme="minorHAnsi" w:cstheme="minorHAnsi"/>
                <w:color w:val="000000" w:themeColor="text1"/>
                <w:sz w:val="18"/>
                <w:szCs w:val="18"/>
                <w:lang w:eastAsia="en-GB"/>
              </w:rPr>
              <w:t>,</w:t>
            </w:r>
            <w:r w:rsidR="00E5487F" w:rsidRPr="009D2028">
              <w:rPr>
                <w:rFonts w:asciiTheme="minorHAnsi" w:hAnsiTheme="minorHAnsi" w:cstheme="minorHAnsi"/>
                <w:color w:val="000000" w:themeColor="text1"/>
                <w:sz w:val="18"/>
                <w:szCs w:val="18"/>
                <w:lang w:eastAsia="en-GB"/>
              </w:rPr>
              <w:t>222</w:t>
            </w:r>
          </w:p>
        </w:tc>
      </w:tr>
      <w:tr w:rsidR="00C11AA4" w:rsidRPr="007F7066" w14:paraId="28EDD949" w14:textId="77777777" w:rsidTr="009D2028">
        <w:trPr>
          <w:trHeight w:val="360"/>
          <w:jc w:val="center"/>
        </w:trPr>
        <w:tc>
          <w:tcPr>
            <w:tcW w:w="2007" w:type="dxa"/>
            <w:shd w:val="clear" w:color="000000" w:fill="FFFFFF"/>
            <w:noWrap/>
            <w:vAlign w:val="center"/>
            <w:hideMark/>
          </w:tcPr>
          <w:p w14:paraId="07BBD730" w14:textId="77777777" w:rsidR="00C11AA4" w:rsidRPr="009D2028" w:rsidRDefault="00C11AA4" w:rsidP="004D3C16">
            <w:pPr>
              <w:rPr>
                <w:rFonts w:asciiTheme="minorHAnsi" w:hAnsiTheme="minorHAnsi" w:cstheme="minorHAnsi"/>
                <w:sz w:val="18"/>
                <w:szCs w:val="18"/>
                <w:lang w:eastAsia="en-GB"/>
              </w:rPr>
            </w:pPr>
            <w:r w:rsidRPr="009D2028">
              <w:rPr>
                <w:rFonts w:asciiTheme="minorHAnsi" w:hAnsiTheme="minorHAnsi" w:cstheme="minorHAnsi"/>
                <w:sz w:val="18"/>
                <w:szCs w:val="18"/>
                <w:lang w:eastAsia="en-GB"/>
              </w:rPr>
              <w:t>Shareholders' Funds</w:t>
            </w:r>
          </w:p>
        </w:tc>
        <w:tc>
          <w:tcPr>
            <w:tcW w:w="1364" w:type="dxa"/>
            <w:vAlign w:val="center"/>
          </w:tcPr>
          <w:p w14:paraId="4C3B0A8D" w14:textId="6384E15F"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223,962</w:t>
            </w:r>
          </w:p>
        </w:tc>
        <w:tc>
          <w:tcPr>
            <w:tcW w:w="1403" w:type="dxa"/>
            <w:vAlign w:val="center"/>
          </w:tcPr>
          <w:p w14:paraId="1010B352" w14:textId="07968629"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238,560</w:t>
            </w:r>
          </w:p>
        </w:tc>
        <w:tc>
          <w:tcPr>
            <w:tcW w:w="1276" w:type="dxa"/>
            <w:shd w:val="clear" w:color="auto" w:fill="auto"/>
            <w:noWrap/>
            <w:vAlign w:val="center"/>
          </w:tcPr>
          <w:p w14:paraId="6BBBFA12" w14:textId="4BB59BB1"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294,980</w:t>
            </w:r>
          </w:p>
        </w:tc>
        <w:tc>
          <w:tcPr>
            <w:tcW w:w="1276" w:type="dxa"/>
            <w:vAlign w:val="center"/>
          </w:tcPr>
          <w:p w14:paraId="1D7BC7F9" w14:textId="02CD5BC3" w:rsidR="00C11AA4" w:rsidRPr="009D2028" w:rsidRDefault="00860F7E" w:rsidP="00813BDD">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318,369</w:t>
            </w:r>
          </w:p>
        </w:tc>
        <w:tc>
          <w:tcPr>
            <w:tcW w:w="1276" w:type="dxa"/>
            <w:shd w:val="clear" w:color="auto" w:fill="auto"/>
            <w:noWrap/>
            <w:vAlign w:val="center"/>
            <w:hideMark/>
          </w:tcPr>
          <w:p w14:paraId="257587F7" w14:textId="60EF2218" w:rsidR="00C11AA4" w:rsidRPr="009D2028" w:rsidRDefault="00E5487F" w:rsidP="004D3C16">
            <w:pPr>
              <w:keepNext/>
              <w:keepLines/>
              <w:spacing w:before="200"/>
              <w:jc w:val="right"/>
              <w:outlineLvl w:val="3"/>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268,968</w:t>
            </w:r>
          </w:p>
        </w:tc>
      </w:tr>
      <w:tr w:rsidR="00C11AA4" w:rsidRPr="007F7066" w14:paraId="0F563EFF" w14:textId="77777777" w:rsidTr="009D2028">
        <w:trPr>
          <w:trHeight w:val="360"/>
          <w:jc w:val="center"/>
        </w:trPr>
        <w:tc>
          <w:tcPr>
            <w:tcW w:w="2007" w:type="dxa"/>
            <w:shd w:val="clear" w:color="000000" w:fill="FFFFFF"/>
            <w:noWrap/>
            <w:vAlign w:val="center"/>
          </w:tcPr>
          <w:p w14:paraId="47B59518" w14:textId="77777777" w:rsidR="00C11AA4" w:rsidRPr="009D2028" w:rsidRDefault="00C11AA4" w:rsidP="004D3C16">
            <w:pPr>
              <w:rPr>
                <w:rFonts w:asciiTheme="minorHAnsi" w:hAnsiTheme="minorHAnsi" w:cstheme="minorHAnsi"/>
                <w:sz w:val="18"/>
                <w:szCs w:val="18"/>
                <w:lang w:eastAsia="en-GB"/>
              </w:rPr>
            </w:pPr>
            <w:r w:rsidRPr="009D2028">
              <w:rPr>
                <w:rFonts w:asciiTheme="minorHAnsi" w:hAnsiTheme="minorHAnsi" w:cstheme="minorHAnsi"/>
                <w:sz w:val="18"/>
                <w:szCs w:val="18"/>
                <w:lang w:eastAsia="en-GB"/>
              </w:rPr>
              <w:t>EBITDA %</w:t>
            </w:r>
          </w:p>
        </w:tc>
        <w:tc>
          <w:tcPr>
            <w:tcW w:w="1364" w:type="dxa"/>
            <w:vAlign w:val="center"/>
          </w:tcPr>
          <w:p w14:paraId="1C258FD0" w14:textId="5004F3CA"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16%</w:t>
            </w:r>
          </w:p>
        </w:tc>
        <w:tc>
          <w:tcPr>
            <w:tcW w:w="1403" w:type="dxa"/>
            <w:vAlign w:val="center"/>
          </w:tcPr>
          <w:p w14:paraId="680AED16" w14:textId="320D97D8"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 xml:space="preserve">16% </w:t>
            </w:r>
          </w:p>
        </w:tc>
        <w:tc>
          <w:tcPr>
            <w:tcW w:w="1276" w:type="dxa"/>
            <w:shd w:val="clear" w:color="auto" w:fill="auto"/>
            <w:noWrap/>
            <w:vAlign w:val="center"/>
          </w:tcPr>
          <w:p w14:paraId="06364C9F" w14:textId="4B8233F3"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17%</w:t>
            </w:r>
          </w:p>
        </w:tc>
        <w:tc>
          <w:tcPr>
            <w:tcW w:w="1276" w:type="dxa"/>
            <w:vAlign w:val="center"/>
          </w:tcPr>
          <w:p w14:paraId="694CBF7A" w14:textId="1B45FBB1" w:rsidR="00C11AA4" w:rsidRPr="009D2028" w:rsidRDefault="00860F7E" w:rsidP="00813BDD">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16%</w:t>
            </w:r>
          </w:p>
        </w:tc>
        <w:tc>
          <w:tcPr>
            <w:tcW w:w="1276" w:type="dxa"/>
            <w:shd w:val="clear" w:color="auto" w:fill="auto"/>
            <w:noWrap/>
            <w:vAlign w:val="center"/>
          </w:tcPr>
          <w:p w14:paraId="6C262B41" w14:textId="49835598"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16</w:t>
            </w:r>
            <w:r w:rsidR="00E5487F" w:rsidRPr="009D2028">
              <w:rPr>
                <w:rFonts w:asciiTheme="minorHAnsi" w:hAnsiTheme="minorHAnsi" w:cstheme="minorHAnsi"/>
                <w:color w:val="000000" w:themeColor="text1"/>
                <w:sz w:val="18"/>
                <w:szCs w:val="18"/>
                <w:lang w:eastAsia="en-GB"/>
              </w:rPr>
              <w:t>.25</w:t>
            </w:r>
            <w:r w:rsidRPr="009D2028">
              <w:rPr>
                <w:rFonts w:asciiTheme="minorHAnsi" w:hAnsiTheme="minorHAnsi" w:cstheme="minorHAnsi"/>
                <w:color w:val="000000" w:themeColor="text1"/>
                <w:sz w:val="18"/>
                <w:szCs w:val="18"/>
                <w:lang w:eastAsia="en-GB"/>
              </w:rPr>
              <w:t>%</w:t>
            </w:r>
          </w:p>
        </w:tc>
      </w:tr>
      <w:tr w:rsidR="00C11AA4" w:rsidRPr="007F7066" w14:paraId="09646E18" w14:textId="77777777" w:rsidTr="009D2028">
        <w:trPr>
          <w:trHeight w:val="360"/>
          <w:jc w:val="center"/>
        </w:trPr>
        <w:tc>
          <w:tcPr>
            <w:tcW w:w="2007" w:type="dxa"/>
            <w:shd w:val="clear" w:color="000000" w:fill="FFFFFF"/>
            <w:noWrap/>
            <w:vAlign w:val="center"/>
          </w:tcPr>
          <w:p w14:paraId="7ABB8324" w14:textId="77777777" w:rsidR="00C11AA4" w:rsidRPr="009D2028" w:rsidRDefault="00C11AA4" w:rsidP="004D3C16">
            <w:pPr>
              <w:rPr>
                <w:rFonts w:asciiTheme="minorHAnsi" w:hAnsiTheme="minorHAnsi" w:cstheme="minorHAnsi"/>
                <w:sz w:val="18"/>
                <w:szCs w:val="18"/>
                <w:lang w:eastAsia="en-GB"/>
              </w:rPr>
            </w:pPr>
            <w:r w:rsidRPr="009D2028">
              <w:rPr>
                <w:rFonts w:asciiTheme="minorHAnsi" w:hAnsiTheme="minorHAnsi" w:cstheme="minorHAnsi"/>
                <w:sz w:val="18"/>
                <w:szCs w:val="18"/>
                <w:lang w:eastAsia="en-GB"/>
              </w:rPr>
              <w:t>NOPAT %</w:t>
            </w:r>
          </w:p>
        </w:tc>
        <w:tc>
          <w:tcPr>
            <w:tcW w:w="1364" w:type="dxa"/>
            <w:vAlign w:val="center"/>
          </w:tcPr>
          <w:p w14:paraId="06A2F95D" w14:textId="5BB09667"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13.2%</w:t>
            </w:r>
          </w:p>
        </w:tc>
        <w:tc>
          <w:tcPr>
            <w:tcW w:w="1403" w:type="dxa"/>
            <w:vAlign w:val="center"/>
          </w:tcPr>
          <w:p w14:paraId="35450CDF" w14:textId="1B4E871B"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14.3%</w:t>
            </w:r>
          </w:p>
        </w:tc>
        <w:tc>
          <w:tcPr>
            <w:tcW w:w="1276" w:type="dxa"/>
            <w:shd w:val="clear" w:color="auto" w:fill="auto"/>
            <w:noWrap/>
            <w:vAlign w:val="center"/>
          </w:tcPr>
          <w:p w14:paraId="350BA7AC" w14:textId="5BFBD8C3"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14.9%</w:t>
            </w:r>
          </w:p>
        </w:tc>
        <w:tc>
          <w:tcPr>
            <w:tcW w:w="1276" w:type="dxa"/>
            <w:vAlign w:val="center"/>
          </w:tcPr>
          <w:p w14:paraId="703C9351" w14:textId="66D58374" w:rsidR="00C11AA4" w:rsidRPr="009D2028" w:rsidRDefault="00860F7E" w:rsidP="00813BDD">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13.9%</w:t>
            </w:r>
          </w:p>
        </w:tc>
        <w:tc>
          <w:tcPr>
            <w:tcW w:w="1276" w:type="dxa"/>
            <w:shd w:val="clear" w:color="auto" w:fill="auto"/>
            <w:noWrap/>
            <w:vAlign w:val="center"/>
          </w:tcPr>
          <w:p w14:paraId="1B2C311A" w14:textId="50FBD82C"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14.</w:t>
            </w:r>
            <w:r w:rsidR="00E5487F" w:rsidRPr="009D2028">
              <w:rPr>
                <w:rFonts w:asciiTheme="minorHAnsi" w:hAnsiTheme="minorHAnsi" w:cstheme="minorHAnsi"/>
                <w:color w:val="000000" w:themeColor="text1"/>
                <w:sz w:val="18"/>
                <w:szCs w:val="18"/>
                <w:lang w:eastAsia="en-GB"/>
              </w:rPr>
              <w:t>08</w:t>
            </w:r>
            <w:r w:rsidRPr="009D2028">
              <w:rPr>
                <w:rFonts w:asciiTheme="minorHAnsi" w:hAnsiTheme="minorHAnsi" w:cstheme="minorHAnsi"/>
                <w:color w:val="000000" w:themeColor="text1"/>
                <w:sz w:val="18"/>
                <w:szCs w:val="18"/>
                <w:lang w:eastAsia="en-GB"/>
              </w:rPr>
              <w:t>%</w:t>
            </w:r>
          </w:p>
        </w:tc>
      </w:tr>
      <w:tr w:rsidR="00C11AA4" w:rsidRPr="007F7066" w14:paraId="09C4774C" w14:textId="77777777" w:rsidTr="009D2028">
        <w:trPr>
          <w:trHeight w:val="360"/>
          <w:jc w:val="center"/>
        </w:trPr>
        <w:tc>
          <w:tcPr>
            <w:tcW w:w="2007" w:type="dxa"/>
            <w:shd w:val="clear" w:color="000000" w:fill="FFFFFF"/>
            <w:noWrap/>
            <w:vAlign w:val="center"/>
            <w:hideMark/>
          </w:tcPr>
          <w:p w14:paraId="6CE0324F" w14:textId="77777777" w:rsidR="00C11AA4" w:rsidRPr="009D2028" w:rsidRDefault="00C11AA4" w:rsidP="004D3C16">
            <w:pPr>
              <w:rPr>
                <w:rFonts w:asciiTheme="minorHAnsi" w:hAnsiTheme="minorHAnsi" w:cstheme="minorHAnsi"/>
                <w:sz w:val="18"/>
                <w:szCs w:val="18"/>
                <w:lang w:eastAsia="en-GB"/>
              </w:rPr>
            </w:pPr>
            <w:r w:rsidRPr="009D2028">
              <w:rPr>
                <w:rFonts w:asciiTheme="minorHAnsi" w:hAnsiTheme="minorHAnsi" w:cstheme="minorHAnsi"/>
                <w:sz w:val="18"/>
                <w:szCs w:val="18"/>
                <w:lang w:eastAsia="en-GB"/>
              </w:rPr>
              <w:t>ROE %</w:t>
            </w:r>
          </w:p>
        </w:tc>
        <w:tc>
          <w:tcPr>
            <w:tcW w:w="1364" w:type="dxa"/>
            <w:vAlign w:val="center"/>
          </w:tcPr>
          <w:p w14:paraId="6FF6E540" w14:textId="161ACFBF"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43.2%</w:t>
            </w:r>
          </w:p>
        </w:tc>
        <w:tc>
          <w:tcPr>
            <w:tcW w:w="1403" w:type="dxa"/>
            <w:vAlign w:val="center"/>
          </w:tcPr>
          <w:p w14:paraId="6DC5BF75" w14:textId="11B78F96"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49.7%</w:t>
            </w:r>
          </w:p>
        </w:tc>
        <w:tc>
          <w:tcPr>
            <w:tcW w:w="1276" w:type="dxa"/>
            <w:shd w:val="clear" w:color="auto" w:fill="auto"/>
            <w:noWrap/>
            <w:vAlign w:val="center"/>
          </w:tcPr>
          <w:p w14:paraId="564EEB68" w14:textId="7A780663"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35.4%</w:t>
            </w:r>
          </w:p>
        </w:tc>
        <w:tc>
          <w:tcPr>
            <w:tcW w:w="1276" w:type="dxa"/>
            <w:vAlign w:val="center"/>
          </w:tcPr>
          <w:p w14:paraId="31336F65" w14:textId="0E95757F" w:rsidR="00C11AA4" w:rsidRPr="009D2028" w:rsidRDefault="00860F7E" w:rsidP="00813BDD">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43.2%</w:t>
            </w:r>
          </w:p>
        </w:tc>
        <w:tc>
          <w:tcPr>
            <w:tcW w:w="1276" w:type="dxa"/>
            <w:shd w:val="clear" w:color="auto" w:fill="auto"/>
            <w:noWrap/>
            <w:vAlign w:val="center"/>
            <w:hideMark/>
          </w:tcPr>
          <w:p w14:paraId="2CA9D105" w14:textId="68A0E793"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42.</w:t>
            </w:r>
            <w:r w:rsidR="00E5487F" w:rsidRPr="009D2028">
              <w:rPr>
                <w:rFonts w:asciiTheme="minorHAnsi" w:hAnsiTheme="minorHAnsi" w:cstheme="minorHAnsi"/>
                <w:color w:val="000000" w:themeColor="text1"/>
                <w:sz w:val="18"/>
                <w:szCs w:val="18"/>
                <w:lang w:eastAsia="en-GB"/>
              </w:rPr>
              <w:t>9</w:t>
            </w:r>
            <w:r w:rsidRPr="009D2028">
              <w:rPr>
                <w:rFonts w:asciiTheme="minorHAnsi" w:hAnsiTheme="minorHAnsi" w:cstheme="minorHAnsi"/>
                <w:color w:val="000000" w:themeColor="text1"/>
                <w:sz w:val="18"/>
                <w:szCs w:val="18"/>
                <w:lang w:eastAsia="en-GB"/>
              </w:rPr>
              <w:t>%</w:t>
            </w:r>
          </w:p>
        </w:tc>
      </w:tr>
      <w:tr w:rsidR="00C11AA4" w:rsidRPr="007F7066" w14:paraId="1316CEFE" w14:textId="77777777" w:rsidTr="009D2028">
        <w:trPr>
          <w:trHeight w:val="360"/>
          <w:jc w:val="center"/>
        </w:trPr>
        <w:tc>
          <w:tcPr>
            <w:tcW w:w="2007" w:type="dxa"/>
            <w:shd w:val="clear" w:color="000000" w:fill="FFFFFF"/>
            <w:noWrap/>
            <w:vAlign w:val="center"/>
            <w:hideMark/>
          </w:tcPr>
          <w:p w14:paraId="51216737" w14:textId="77777777" w:rsidR="00C11AA4" w:rsidRPr="009D2028" w:rsidRDefault="00C11AA4" w:rsidP="004D3C16">
            <w:pPr>
              <w:rPr>
                <w:rFonts w:asciiTheme="minorHAnsi" w:hAnsiTheme="minorHAnsi" w:cstheme="minorHAnsi"/>
                <w:sz w:val="18"/>
                <w:szCs w:val="18"/>
                <w:lang w:eastAsia="en-GB"/>
              </w:rPr>
            </w:pPr>
            <w:r w:rsidRPr="009D2028">
              <w:rPr>
                <w:rFonts w:asciiTheme="minorHAnsi" w:hAnsiTheme="minorHAnsi" w:cstheme="minorHAnsi"/>
                <w:sz w:val="18"/>
                <w:szCs w:val="18"/>
                <w:lang w:eastAsia="en-GB"/>
              </w:rPr>
              <w:t>ROA %</w:t>
            </w:r>
          </w:p>
        </w:tc>
        <w:tc>
          <w:tcPr>
            <w:tcW w:w="1364" w:type="dxa"/>
            <w:vAlign w:val="center"/>
          </w:tcPr>
          <w:p w14:paraId="09818333" w14:textId="543324E6"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23.3%</w:t>
            </w:r>
          </w:p>
        </w:tc>
        <w:tc>
          <w:tcPr>
            <w:tcW w:w="1403" w:type="dxa"/>
            <w:vAlign w:val="center"/>
          </w:tcPr>
          <w:p w14:paraId="4892E350" w14:textId="1FF0CAD7"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25.7%</w:t>
            </w:r>
          </w:p>
        </w:tc>
        <w:tc>
          <w:tcPr>
            <w:tcW w:w="1276" w:type="dxa"/>
            <w:shd w:val="clear" w:color="auto" w:fill="auto"/>
            <w:noWrap/>
            <w:vAlign w:val="center"/>
          </w:tcPr>
          <w:p w14:paraId="46275F36" w14:textId="05B92C4D"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17.5%</w:t>
            </w:r>
          </w:p>
        </w:tc>
        <w:tc>
          <w:tcPr>
            <w:tcW w:w="1276" w:type="dxa"/>
            <w:vAlign w:val="center"/>
          </w:tcPr>
          <w:p w14:paraId="0579580F" w14:textId="16C9441C" w:rsidR="00C11AA4" w:rsidRPr="009D2028" w:rsidRDefault="00860F7E" w:rsidP="00813BDD">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18.7%</w:t>
            </w:r>
          </w:p>
        </w:tc>
        <w:tc>
          <w:tcPr>
            <w:tcW w:w="1276" w:type="dxa"/>
            <w:shd w:val="clear" w:color="auto" w:fill="auto"/>
            <w:noWrap/>
            <w:vAlign w:val="center"/>
            <w:hideMark/>
          </w:tcPr>
          <w:p w14:paraId="6F7C6AB7" w14:textId="7FE0D933"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2</w:t>
            </w:r>
            <w:r w:rsidR="00E5487F" w:rsidRPr="009D2028">
              <w:rPr>
                <w:rFonts w:asciiTheme="minorHAnsi" w:hAnsiTheme="minorHAnsi" w:cstheme="minorHAnsi"/>
                <w:color w:val="000000" w:themeColor="text1"/>
                <w:sz w:val="18"/>
                <w:szCs w:val="18"/>
                <w:lang w:eastAsia="en-GB"/>
              </w:rPr>
              <w:t>1.3</w:t>
            </w:r>
            <w:r w:rsidRPr="009D2028">
              <w:rPr>
                <w:rFonts w:asciiTheme="minorHAnsi" w:hAnsiTheme="minorHAnsi" w:cstheme="minorHAnsi"/>
                <w:color w:val="000000" w:themeColor="text1"/>
                <w:sz w:val="18"/>
                <w:szCs w:val="18"/>
                <w:lang w:eastAsia="en-GB"/>
              </w:rPr>
              <w:t>%</w:t>
            </w:r>
          </w:p>
        </w:tc>
      </w:tr>
      <w:tr w:rsidR="00C11AA4" w:rsidRPr="007F7066" w14:paraId="4738A668" w14:textId="77777777" w:rsidTr="009D2028">
        <w:trPr>
          <w:trHeight w:val="360"/>
          <w:jc w:val="center"/>
        </w:trPr>
        <w:tc>
          <w:tcPr>
            <w:tcW w:w="2007" w:type="dxa"/>
            <w:shd w:val="clear" w:color="000000" w:fill="FFFFFF"/>
            <w:noWrap/>
            <w:vAlign w:val="center"/>
          </w:tcPr>
          <w:p w14:paraId="6D0F97F3" w14:textId="77777777" w:rsidR="00C11AA4" w:rsidRPr="009D2028" w:rsidRDefault="00C11AA4" w:rsidP="004D3C16">
            <w:pPr>
              <w:rPr>
                <w:rFonts w:asciiTheme="minorHAnsi" w:hAnsiTheme="minorHAnsi" w:cstheme="minorHAnsi"/>
                <w:sz w:val="18"/>
                <w:szCs w:val="18"/>
                <w:lang w:eastAsia="en-GB"/>
              </w:rPr>
            </w:pPr>
            <w:r w:rsidRPr="009D2028">
              <w:rPr>
                <w:rFonts w:asciiTheme="minorHAnsi" w:hAnsiTheme="minorHAnsi" w:cstheme="minorHAnsi"/>
                <w:sz w:val="18"/>
                <w:szCs w:val="18"/>
                <w:lang w:eastAsia="en-GB"/>
              </w:rPr>
              <w:t>Current Assets / Current liabilities</w:t>
            </w:r>
          </w:p>
        </w:tc>
        <w:tc>
          <w:tcPr>
            <w:tcW w:w="1364" w:type="dxa"/>
            <w:vAlign w:val="center"/>
          </w:tcPr>
          <w:p w14:paraId="0A452F87" w14:textId="1DC67627"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0.63</w:t>
            </w:r>
          </w:p>
        </w:tc>
        <w:tc>
          <w:tcPr>
            <w:tcW w:w="1403" w:type="dxa"/>
            <w:vAlign w:val="center"/>
          </w:tcPr>
          <w:p w14:paraId="1B3D1766" w14:textId="02C17178"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0.77</w:t>
            </w:r>
          </w:p>
        </w:tc>
        <w:tc>
          <w:tcPr>
            <w:tcW w:w="1276" w:type="dxa"/>
            <w:shd w:val="clear" w:color="auto" w:fill="auto"/>
            <w:noWrap/>
            <w:vAlign w:val="center"/>
          </w:tcPr>
          <w:p w14:paraId="11B7773A" w14:textId="647D93DC"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 xml:space="preserve">0.96 </w:t>
            </w:r>
          </w:p>
        </w:tc>
        <w:tc>
          <w:tcPr>
            <w:tcW w:w="1276" w:type="dxa"/>
            <w:vAlign w:val="center"/>
          </w:tcPr>
          <w:p w14:paraId="31527D13" w14:textId="424697C6" w:rsidR="00C11AA4" w:rsidRPr="009D2028" w:rsidRDefault="00860F7E" w:rsidP="00813BDD">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1.05</w:t>
            </w:r>
          </w:p>
        </w:tc>
        <w:tc>
          <w:tcPr>
            <w:tcW w:w="1276" w:type="dxa"/>
            <w:shd w:val="clear" w:color="auto" w:fill="auto"/>
            <w:noWrap/>
            <w:vAlign w:val="center"/>
          </w:tcPr>
          <w:p w14:paraId="4665B760" w14:textId="6FF981D2" w:rsidR="00C11AA4" w:rsidRPr="009D2028" w:rsidRDefault="00E5487F" w:rsidP="004D3C16">
            <w:pPr>
              <w:keepNext/>
              <w:keepLines/>
              <w:spacing w:before="200"/>
              <w:jc w:val="right"/>
              <w:outlineLvl w:val="3"/>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0.85</w:t>
            </w:r>
          </w:p>
        </w:tc>
      </w:tr>
      <w:tr w:rsidR="00C11AA4" w:rsidRPr="007F7066" w14:paraId="6BFB456F" w14:textId="77777777" w:rsidTr="009D2028">
        <w:trPr>
          <w:trHeight w:val="360"/>
          <w:jc w:val="center"/>
        </w:trPr>
        <w:tc>
          <w:tcPr>
            <w:tcW w:w="2007" w:type="dxa"/>
            <w:shd w:val="clear" w:color="000000" w:fill="FFFFFF"/>
            <w:noWrap/>
            <w:vAlign w:val="center"/>
          </w:tcPr>
          <w:p w14:paraId="6354B706" w14:textId="77777777" w:rsidR="00C11AA4" w:rsidRPr="009D2028" w:rsidRDefault="00C11AA4" w:rsidP="004D3C16">
            <w:pPr>
              <w:rPr>
                <w:rFonts w:asciiTheme="minorHAnsi" w:hAnsiTheme="minorHAnsi" w:cstheme="minorHAnsi"/>
                <w:sz w:val="18"/>
                <w:szCs w:val="18"/>
                <w:lang w:eastAsia="en-GB"/>
              </w:rPr>
            </w:pPr>
            <w:r w:rsidRPr="009D2028">
              <w:rPr>
                <w:rFonts w:asciiTheme="minorHAnsi" w:hAnsiTheme="minorHAnsi" w:cstheme="minorHAnsi"/>
                <w:sz w:val="18"/>
                <w:szCs w:val="18"/>
                <w:lang w:eastAsia="en-GB"/>
              </w:rPr>
              <w:t>Quick Ratio</w:t>
            </w:r>
          </w:p>
        </w:tc>
        <w:tc>
          <w:tcPr>
            <w:tcW w:w="1364" w:type="dxa"/>
            <w:vAlign w:val="center"/>
          </w:tcPr>
          <w:p w14:paraId="43FE59D0" w14:textId="6457D4BB"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0.25</w:t>
            </w:r>
          </w:p>
        </w:tc>
        <w:tc>
          <w:tcPr>
            <w:tcW w:w="1403" w:type="dxa"/>
            <w:vAlign w:val="center"/>
          </w:tcPr>
          <w:p w14:paraId="0FC86B57" w14:textId="41A62DE1"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0.43</w:t>
            </w:r>
          </w:p>
        </w:tc>
        <w:tc>
          <w:tcPr>
            <w:tcW w:w="1276" w:type="dxa"/>
            <w:shd w:val="clear" w:color="auto" w:fill="auto"/>
            <w:noWrap/>
            <w:vAlign w:val="center"/>
          </w:tcPr>
          <w:p w14:paraId="16CA95DD" w14:textId="7D1C4CCD"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0.75</w:t>
            </w:r>
          </w:p>
        </w:tc>
        <w:tc>
          <w:tcPr>
            <w:tcW w:w="1276" w:type="dxa"/>
            <w:vAlign w:val="center"/>
          </w:tcPr>
          <w:p w14:paraId="23D821EB" w14:textId="29396A36" w:rsidR="00C11AA4" w:rsidRPr="009D2028" w:rsidRDefault="00860F7E" w:rsidP="00813BDD">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0.90</w:t>
            </w:r>
          </w:p>
        </w:tc>
        <w:tc>
          <w:tcPr>
            <w:tcW w:w="1276" w:type="dxa"/>
            <w:shd w:val="clear" w:color="auto" w:fill="auto"/>
            <w:noWrap/>
            <w:vAlign w:val="center"/>
          </w:tcPr>
          <w:p w14:paraId="74E40E08" w14:textId="51F63EB6" w:rsidR="00C11AA4" w:rsidRPr="009D2028" w:rsidRDefault="00E5487F"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0.58</w:t>
            </w:r>
          </w:p>
        </w:tc>
      </w:tr>
      <w:tr w:rsidR="00C11AA4" w:rsidRPr="007F7066" w14:paraId="36C48198" w14:textId="77777777" w:rsidTr="009D2028">
        <w:trPr>
          <w:trHeight w:val="360"/>
          <w:jc w:val="center"/>
        </w:trPr>
        <w:tc>
          <w:tcPr>
            <w:tcW w:w="2007" w:type="dxa"/>
            <w:shd w:val="clear" w:color="000000" w:fill="FFFFFF"/>
            <w:noWrap/>
            <w:vAlign w:val="center"/>
          </w:tcPr>
          <w:p w14:paraId="21A3AF55" w14:textId="77777777" w:rsidR="00C11AA4" w:rsidRPr="009D2028" w:rsidRDefault="00C11AA4" w:rsidP="004D3C16">
            <w:pPr>
              <w:rPr>
                <w:rFonts w:asciiTheme="minorHAnsi" w:hAnsiTheme="minorHAnsi" w:cstheme="minorHAnsi"/>
                <w:sz w:val="18"/>
                <w:szCs w:val="18"/>
                <w:lang w:eastAsia="en-GB"/>
              </w:rPr>
            </w:pPr>
            <w:r w:rsidRPr="009D2028">
              <w:rPr>
                <w:rFonts w:asciiTheme="minorHAnsi" w:hAnsiTheme="minorHAnsi" w:cstheme="minorHAnsi"/>
                <w:sz w:val="18"/>
                <w:szCs w:val="18"/>
                <w:lang w:eastAsia="en-GB"/>
              </w:rPr>
              <w:t>Accounts Receivable Days</w:t>
            </w:r>
          </w:p>
        </w:tc>
        <w:tc>
          <w:tcPr>
            <w:tcW w:w="1364" w:type="dxa"/>
            <w:vAlign w:val="center"/>
          </w:tcPr>
          <w:p w14:paraId="1F8A1B09" w14:textId="400B02A3"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15</w:t>
            </w:r>
          </w:p>
        </w:tc>
        <w:tc>
          <w:tcPr>
            <w:tcW w:w="1403" w:type="dxa"/>
            <w:vAlign w:val="center"/>
          </w:tcPr>
          <w:p w14:paraId="103BE2DE" w14:textId="69674F0E"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33</w:t>
            </w:r>
          </w:p>
        </w:tc>
        <w:tc>
          <w:tcPr>
            <w:tcW w:w="1276" w:type="dxa"/>
            <w:shd w:val="clear" w:color="auto" w:fill="auto"/>
            <w:noWrap/>
            <w:vAlign w:val="center"/>
          </w:tcPr>
          <w:p w14:paraId="647B13C5" w14:textId="317B48D2"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105</w:t>
            </w:r>
          </w:p>
        </w:tc>
        <w:tc>
          <w:tcPr>
            <w:tcW w:w="1276" w:type="dxa"/>
            <w:vAlign w:val="center"/>
          </w:tcPr>
          <w:p w14:paraId="6EA7C740" w14:textId="1AAC66F2" w:rsidR="00C11AA4" w:rsidRPr="009D2028" w:rsidRDefault="00860F7E" w:rsidP="00813BDD">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123</w:t>
            </w:r>
          </w:p>
        </w:tc>
        <w:tc>
          <w:tcPr>
            <w:tcW w:w="1276" w:type="dxa"/>
            <w:shd w:val="clear" w:color="auto" w:fill="auto"/>
            <w:noWrap/>
            <w:vAlign w:val="center"/>
          </w:tcPr>
          <w:p w14:paraId="60B26473" w14:textId="6ED0BBD5" w:rsidR="00C11AA4" w:rsidRPr="009D2028" w:rsidRDefault="00E5487F" w:rsidP="0023147B">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69</w:t>
            </w:r>
          </w:p>
        </w:tc>
      </w:tr>
      <w:tr w:rsidR="00C11AA4" w:rsidRPr="007F7066" w14:paraId="3BDACA0C" w14:textId="77777777" w:rsidTr="009D2028">
        <w:trPr>
          <w:trHeight w:val="360"/>
          <w:jc w:val="center"/>
        </w:trPr>
        <w:tc>
          <w:tcPr>
            <w:tcW w:w="2007" w:type="dxa"/>
            <w:shd w:val="clear" w:color="000000" w:fill="FFFFFF"/>
            <w:noWrap/>
            <w:vAlign w:val="center"/>
          </w:tcPr>
          <w:p w14:paraId="2BAC7AB0" w14:textId="77777777" w:rsidR="00C11AA4" w:rsidRPr="009D2028" w:rsidRDefault="00C11AA4" w:rsidP="004D3C16">
            <w:pPr>
              <w:rPr>
                <w:rFonts w:asciiTheme="minorHAnsi" w:hAnsiTheme="minorHAnsi" w:cstheme="minorHAnsi"/>
                <w:sz w:val="18"/>
                <w:szCs w:val="18"/>
                <w:lang w:eastAsia="en-GB"/>
              </w:rPr>
            </w:pPr>
            <w:r w:rsidRPr="009D2028">
              <w:rPr>
                <w:rFonts w:asciiTheme="minorHAnsi" w:hAnsiTheme="minorHAnsi" w:cstheme="minorHAnsi"/>
                <w:sz w:val="18"/>
                <w:szCs w:val="18"/>
                <w:lang w:eastAsia="en-GB"/>
              </w:rPr>
              <w:t>Assets Turnover</w:t>
            </w:r>
          </w:p>
        </w:tc>
        <w:tc>
          <w:tcPr>
            <w:tcW w:w="1364" w:type="dxa"/>
            <w:vAlign w:val="center"/>
          </w:tcPr>
          <w:p w14:paraId="12EB7CF2" w14:textId="75FAC4FC"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1.87</w:t>
            </w:r>
          </w:p>
        </w:tc>
        <w:tc>
          <w:tcPr>
            <w:tcW w:w="1403" w:type="dxa"/>
            <w:vAlign w:val="center"/>
          </w:tcPr>
          <w:p w14:paraId="6F24FC92" w14:textId="35753522"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1.89</w:t>
            </w:r>
          </w:p>
        </w:tc>
        <w:tc>
          <w:tcPr>
            <w:tcW w:w="1276" w:type="dxa"/>
            <w:shd w:val="clear" w:color="auto" w:fill="auto"/>
            <w:noWrap/>
            <w:vAlign w:val="center"/>
          </w:tcPr>
          <w:p w14:paraId="78FA50C4" w14:textId="68F2FE2C"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1.32</w:t>
            </w:r>
          </w:p>
        </w:tc>
        <w:tc>
          <w:tcPr>
            <w:tcW w:w="1276" w:type="dxa"/>
            <w:vAlign w:val="center"/>
          </w:tcPr>
          <w:p w14:paraId="00AEE401" w14:textId="62F616C5" w:rsidR="00C11AA4" w:rsidRPr="009D2028" w:rsidRDefault="00860F7E" w:rsidP="00813BDD">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1.47</w:t>
            </w:r>
          </w:p>
        </w:tc>
        <w:tc>
          <w:tcPr>
            <w:tcW w:w="1276" w:type="dxa"/>
            <w:shd w:val="clear" w:color="auto" w:fill="auto"/>
            <w:noWrap/>
            <w:vAlign w:val="center"/>
          </w:tcPr>
          <w:p w14:paraId="35F9666A" w14:textId="58C2D3E9"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1.</w:t>
            </w:r>
            <w:r w:rsidR="009063B5" w:rsidRPr="009D2028">
              <w:rPr>
                <w:rFonts w:asciiTheme="minorHAnsi" w:hAnsiTheme="minorHAnsi" w:cstheme="minorHAnsi"/>
                <w:color w:val="000000" w:themeColor="text1"/>
                <w:sz w:val="18"/>
                <w:szCs w:val="18"/>
                <w:lang w:eastAsia="en-GB"/>
              </w:rPr>
              <w:t>64</w:t>
            </w:r>
          </w:p>
        </w:tc>
      </w:tr>
      <w:tr w:rsidR="00C11AA4" w:rsidRPr="007F7066" w14:paraId="68831A51" w14:textId="77777777" w:rsidTr="009D2028">
        <w:trPr>
          <w:trHeight w:val="360"/>
          <w:jc w:val="center"/>
        </w:trPr>
        <w:tc>
          <w:tcPr>
            <w:tcW w:w="2007" w:type="dxa"/>
            <w:shd w:val="clear" w:color="000000" w:fill="FFFFFF"/>
            <w:noWrap/>
            <w:vAlign w:val="center"/>
            <w:hideMark/>
          </w:tcPr>
          <w:p w14:paraId="53860A85" w14:textId="77777777" w:rsidR="00C11AA4" w:rsidRPr="009D2028" w:rsidRDefault="00C11AA4" w:rsidP="004D3C16">
            <w:pPr>
              <w:rPr>
                <w:rFonts w:asciiTheme="minorHAnsi" w:hAnsiTheme="minorHAnsi" w:cstheme="minorHAnsi"/>
                <w:sz w:val="18"/>
                <w:szCs w:val="18"/>
                <w:lang w:eastAsia="en-GB"/>
              </w:rPr>
            </w:pPr>
            <w:r w:rsidRPr="009D2028">
              <w:rPr>
                <w:rFonts w:asciiTheme="minorHAnsi" w:hAnsiTheme="minorHAnsi" w:cstheme="minorHAnsi"/>
                <w:sz w:val="18"/>
                <w:szCs w:val="18"/>
                <w:lang w:eastAsia="en-GB"/>
              </w:rPr>
              <w:t>Debt / Equity Ratio</w:t>
            </w:r>
          </w:p>
        </w:tc>
        <w:tc>
          <w:tcPr>
            <w:tcW w:w="1364" w:type="dxa"/>
            <w:vAlign w:val="center"/>
          </w:tcPr>
          <w:p w14:paraId="584E7A30" w14:textId="7D8A200E"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n/a</w:t>
            </w:r>
          </w:p>
        </w:tc>
        <w:tc>
          <w:tcPr>
            <w:tcW w:w="1403" w:type="dxa"/>
            <w:vAlign w:val="center"/>
          </w:tcPr>
          <w:p w14:paraId="55B27687" w14:textId="0A811723"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n/a</w:t>
            </w:r>
          </w:p>
        </w:tc>
        <w:tc>
          <w:tcPr>
            <w:tcW w:w="1276" w:type="dxa"/>
            <w:shd w:val="clear" w:color="auto" w:fill="auto"/>
            <w:noWrap/>
            <w:vAlign w:val="center"/>
          </w:tcPr>
          <w:p w14:paraId="3A79F2E2" w14:textId="44A0AB71"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n/a</w:t>
            </w:r>
          </w:p>
        </w:tc>
        <w:tc>
          <w:tcPr>
            <w:tcW w:w="1276" w:type="dxa"/>
            <w:vAlign w:val="center"/>
          </w:tcPr>
          <w:p w14:paraId="1AB002E9" w14:textId="15D48100" w:rsidR="00C11AA4" w:rsidRPr="009D2028" w:rsidRDefault="00860F7E" w:rsidP="00813BDD">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n/a</w:t>
            </w:r>
          </w:p>
        </w:tc>
        <w:tc>
          <w:tcPr>
            <w:tcW w:w="1276" w:type="dxa"/>
            <w:shd w:val="clear" w:color="auto" w:fill="auto"/>
            <w:noWrap/>
            <w:vAlign w:val="center"/>
            <w:hideMark/>
          </w:tcPr>
          <w:p w14:paraId="736799C5" w14:textId="506DADC3" w:rsidR="00C11AA4" w:rsidRPr="009D2028" w:rsidRDefault="00C11AA4" w:rsidP="004D3C16">
            <w:pPr>
              <w:jc w:val="right"/>
              <w:rPr>
                <w:rFonts w:asciiTheme="minorHAnsi" w:hAnsiTheme="minorHAnsi" w:cstheme="minorHAnsi"/>
                <w:color w:val="000000" w:themeColor="text1"/>
                <w:sz w:val="18"/>
                <w:szCs w:val="18"/>
                <w:lang w:eastAsia="en-GB"/>
              </w:rPr>
            </w:pPr>
            <w:r w:rsidRPr="009D2028">
              <w:rPr>
                <w:rFonts w:asciiTheme="minorHAnsi" w:hAnsiTheme="minorHAnsi" w:cstheme="minorHAnsi"/>
                <w:color w:val="000000" w:themeColor="text1"/>
                <w:sz w:val="18"/>
                <w:szCs w:val="18"/>
                <w:lang w:eastAsia="en-GB"/>
              </w:rPr>
              <w:t>n/a</w:t>
            </w:r>
          </w:p>
        </w:tc>
      </w:tr>
    </w:tbl>
    <w:p w14:paraId="08958A18" w14:textId="77777777" w:rsidR="004D3C16" w:rsidRPr="00D25BE7" w:rsidRDefault="004D3C16" w:rsidP="004D3C16">
      <w:pPr>
        <w:rPr>
          <w:rFonts w:asciiTheme="minorHAnsi" w:hAnsiTheme="minorHAnsi"/>
          <w:color w:val="000000" w:themeColor="text1"/>
          <w:lang w:val="en-GB"/>
        </w:rPr>
      </w:pPr>
      <w:r w:rsidRPr="00D25BE7">
        <w:rPr>
          <w:rFonts w:asciiTheme="minorHAnsi" w:hAnsiTheme="minorHAnsi"/>
        </w:rPr>
        <w:t xml:space="preserve"> </w:t>
      </w:r>
    </w:p>
    <w:p w14:paraId="6B6968D2" w14:textId="595AD544" w:rsidR="00F906EA" w:rsidRDefault="00F906EA" w:rsidP="001C598A">
      <w:pPr>
        <w:pStyle w:val="ListParagraph"/>
        <w:ind w:left="567" w:hanging="567"/>
        <w:rPr>
          <w:rFonts w:asciiTheme="minorHAnsi" w:hAnsiTheme="minorHAnsi"/>
          <w:lang w:val="en-GB"/>
        </w:rPr>
      </w:pPr>
      <w:r>
        <w:rPr>
          <w:rFonts w:asciiTheme="minorHAnsi" w:hAnsiTheme="minorHAnsi"/>
          <w:lang w:val="en-GB"/>
        </w:rPr>
        <w:t xml:space="preserve">MMB is a </w:t>
      </w:r>
      <w:proofErr w:type="gramStart"/>
      <w:r>
        <w:rPr>
          <w:rFonts w:asciiTheme="minorHAnsi" w:hAnsiTheme="minorHAnsi"/>
          <w:lang w:val="en-GB"/>
        </w:rPr>
        <w:t>capital intensive</w:t>
      </w:r>
      <w:proofErr w:type="gramEnd"/>
      <w:r>
        <w:rPr>
          <w:rFonts w:asciiTheme="minorHAnsi" w:hAnsiTheme="minorHAnsi"/>
          <w:lang w:val="en-GB"/>
        </w:rPr>
        <w:t xml:space="preserve"> business </w:t>
      </w:r>
      <w:r w:rsidRPr="00243C32">
        <w:rPr>
          <w:rFonts w:asciiTheme="minorHAnsi" w:hAnsiTheme="minorHAnsi"/>
          <w:lang w:val="en-GB"/>
        </w:rPr>
        <w:t xml:space="preserve">Figure </w:t>
      </w:r>
      <w:r w:rsidR="005B0D0E" w:rsidRPr="00243C32">
        <w:rPr>
          <w:rFonts w:asciiTheme="minorHAnsi" w:hAnsiTheme="minorHAnsi"/>
          <w:lang w:val="en-GB"/>
        </w:rPr>
        <w:t>20</w:t>
      </w:r>
      <w:r w:rsidRPr="005B0D0E">
        <w:rPr>
          <w:rFonts w:asciiTheme="minorHAnsi" w:hAnsiTheme="minorHAnsi"/>
          <w:lang w:val="en-GB"/>
        </w:rPr>
        <w:t xml:space="preserve"> below</w:t>
      </w:r>
      <w:r>
        <w:rPr>
          <w:rFonts w:asciiTheme="minorHAnsi" w:hAnsiTheme="minorHAnsi"/>
          <w:lang w:val="en-GB"/>
        </w:rPr>
        <w:t xml:space="preserve">, highlights </w:t>
      </w:r>
      <w:r w:rsidR="00A95099">
        <w:rPr>
          <w:rFonts w:asciiTheme="minorHAnsi" w:hAnsiTheme="minorHAnsi"/>
          <w:lang w:val="en-GB"/>
        </w:rPr>
        <w:t>the proportion of the Total Assets that is Equity</w:t>
      </w:r>
      <w:r w:rsidR="00027DC6">
        <w:rPr>
          <w:rFonts w:asciiTheme="minorHAnsi" w:hAnsiTheme="minorHAnsi"/>
          <w:lang w:val="en-GB"/>
        </w:rPr>
        <w:t xml:space="preserve">. Whilst </w:t>
      </w:r>
      <w:r w:rsidR="00BA06DB">
        <w:rPr>
          <w:rFonts w:asciiTheme="minorHAnsi" w:hAnsiTheme="minorHAnsi"/>
          <w:lang w:val="en-GB"/>
        </w:rPr>
        <w:t>Equity as a proportion of Total Assets has declined from 51.7% to 43.2%</w:t>
      </w:r>
      <w:r w:rsidR="00027DC6">
        <w:rPr>
          <w:rFonts w:asciiTheme="minorHAnsi" w:hAnsiTheme="minorHAnsi"/>
          <w:lang w:val="en-GB"/>
        </w:rPr>
        <w:t xml:space="preserve"> since 2014/15, </w:t>
      </w:r>
      <w:r w:rsidR="00BA06DB">
        <w:rPr>
          <w:rFonts w:asciiTheme="minorHAnsi" w:hAnsiTheme="minorHAnsi"/>
          <w:lang w:val="en-GB"/>
        </w:rPr>
        <w:t>the value of the equity has grown by some 42%.</w:t>
      </w:r>
    </w:p>
    <w:p w14:paraId="7C17B18C" w14:textId="0CB47C08" w:rsidR="00A95099" w:rsidRPr="00243C32" w:rsidRDefault="00BA06DB" w:rsidP="001C598A">
      <w:pPr>
        <w:pStyle w:val="ListParagraph"/>
        <w:ind w:left="567" w:hanging="567"/>
        <w:rPr>
          <w:rFonts w:asciiTheme="minorHAnsi" w:hAnsiTheme="minorHAnsi"/>
          <w:b/>
          <w:sz w:val="20"/>
          <w:lang w:val="en-GB"/>
        </w:rPr>
      </w:pPr>
      <w:r w:rsidRPr="00243C32">
        <w:rPr>
          <w:rFonts w:asciiTheme="minorHAnsi" w:hAnsiTheme="minorHAnsi"/>
          <w:b/>
          <w:sz w:val="20"/>
          <w:lang w:val="en-GB"/>
        </w:rPr>
        <w:lastRenderedPageBreak/>
        <w:t xml:space="preserve">Figure </w:t>
      </w:r>
      <w:r w:rsidR="005B0D0E" w:rsidRPr="00243C32">
        <w:rPr>
          <w:rFonts w:asciiTheme="minorHAnsi" w:hAnsiTheme="minorHAnsi"/>
          <w:b/>
          <w:sz w:val="20"/>
          <w:lang w:val="en-GB"/>
        </w:rPr>
        <w:t>20. Assets v Equity</w:t>
      </w:r>
    </w:p>
    <w:p w14:paraId="1AB3BAF3" w14:textId="6FAC103D" w:rsidR="00A95099" w:rsidRPr="0023147B" w:rsidRDefault="00027DC6" w:rsidP="0023147B">
      <w:pPr>
        <w:rPr>
          <w:rFonts w:asciiTheme="minorHAnsi" w:hAnsiTheme="minorHAnsi"/>
          <w:lang w:val="en-GB"/>
        </w:rPr>
      </w:pPr>
      <w:r>
        <w:rPr>
          <w:noProof/>
        </w:rPr>
        <w:drawing>
          <wp:inline distT="0" distB="0" distL="0" distR="0" wp14:anchorId="36F7D651" wp14:editId="38AA47C7">
            <wp:extent cx="4881245" cy="2494280"/>
            <wp:effectExtent l="25400" t="25400" r="97155" b="9652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615BBA03" w14:textId="3E45314B" w:rsidR="007F7066" w:rsidRPr="00D8583C" w:rsidRDefault="007F7066" w:rsidP="007F7066">
      <w:pPr>
        <w:ind w:firstLine="426"/>
        <w:rPr>
          <w:rFonts w:asciiTheme="minorHAnsi" w:eastAsia="CenturyGothic" w:hAnsiTheme="minorHAnsi" w:cs="Arial"/>
          <w:i/>
          <w:szCs w:val="22"/>
        </w:rPr>
      </w:pPr>
      <w:r>
        <w:rPr>
          <w:rFonts w:asciiTheme="minorHAnsi" w:hAnsiTheme="minorHAnsi" w:cs="Arial"/>
          <w:bCs/>
          <w:i/>
          <w:color w:val="000000"/>
          <w:sz w:val="20"/>
        </w:rPr>
        <w:t>Source: MMB</w:t>
      </w:r>
      <w:r w:rsidRPr="00D8583C">
        <w:rPr>
          <w:rFonts w:asciiTheme="minorHAnsi" w:hAnsiTheme="minorHAnsi" w:cs="Arial"/>
          <w:bCs/>
          <w:i/>
          <w:color w:val="000000"/>
          <w:sz w:val="20"/>
        </w:rPr>
        <w:t xml:space="preserve"> AFS Various Years</w:t>
      </w:r>
    </w:p>
    <w:p w14:paraId="6D01BAB7" w14:textId="77777777" w:rsidR="00A95099" w:rsidRPr="001747A7" w:rsidRDefault="00A95099" w:rsidP="001747A7">
      <w:pPr>
        <w:ind w:left="928" w:hanging="360"/>
        <w:rPr>
          <w:rFonts w:asciiTheme="minorHAnsi" w:hAnsiTheme="minorHAnsi"/>
          <w:lang w:val="en-GB"/>
        </w:rPr>
      </w:pPr>
    </w:p>
    <w:p w14:paraId="0BBCABF9" w14:textId="77777777" w:rsidR="001C598A" w:rsidRPr="00D25BE7" w:rsidRDefault="0008678A" w:rsidP="001C598A">
      <w:pPr>
        <w:pStyle w:val="ListParagraph"/>
        <w:ind w:left="567" w:hanging="567"/>
        <w:rPr>
          <w:rFonts w:asciiTheme="minorHAnsi" w:hAnsiTheme="minorHAnsi"/>
          <w:lang w:val="en-GB"/>
        </w:rPr>
      </w:pPr>
      <w:proofErr w:type="spellStart"/>
      <w:r w:rsidRPr="00D25BE7">
        <w:rPr>
          <w:rFonts w:asciiTheme="minorHAnsi" w:hAnsiTheme="minorHAnsi"/>
          <w:lang w:val="en-GB"/>
        </w:rPr>
        <w:t>Maluti</w:t>
      </w:r>
      <w:proofErr w:type="spellEnd"/>
      <w:r w:rsidRPr="00D25BE7">
        <w:rPr>
          <w:rFonts w:asciiTheme="minorHAnsi" w:hAnsiTheme="minorHAnsi"/>
          <w:lang w:val="en-GB"/>
        </w:rPr>
        <w:t xml:space="preserve"> Mountain Brewery </w:t>
      </w:r>
      <w:r w:rsidR="00D119E4" w:rsidRPr="00D25BE7">
        <w:rPr>
          <w:rFonts w:asciiTheme="minorHAnsi" w:hAnsiTheme="minorHAnsi"/>
          <w:lang w:val="en-GB"/>
        </w:rPr>
        <w:t>has received unqualified audit reports for all recent years.</w:t>
      </w:r>
    </w:p>
    <w:p w14:paraId="77E190F0" w14:textId="0306E8B8" w:rsidR="00BB2E42" w:rsidRPr="0023147B" w:rsidRDefault="00B624C8" w:rsidP="001C598A">
      <w:pPr>
        <w:pStyle w:val="ListParagraph"/>
        <w:ind w:left="567" w:hanging="567"/>
        <w:rPr>
          <w:rFonts w:asciiTheme="minorHAnsi" w:hAnsiTheme="minorHAnsi"/>
          <w:lang w:val="en-GB"/>
        </w:rPr>
      </w:pPr>
      <w:r>
        <w:rPr>
          <w:rFonts w:asciiTheme="minorHAnsi" w:hAnsiTheme="minorHAnsi"/>
        </w:rPr>
        <w:t>MMB</w:t>
      </w:r>
      <w:r w:rsidR="001C598A" w:rsidRPr="00D25BE7">
        <w:rPr>
          <w:rFonts w:asciiTheme="minorHAnsi" w:hAnsiTheme="minorHAnsi"/>
        </w:rPr>
        <w:t xml:space="preserve"> operated a 9-month accounting period for the fiscal year 2016/17. Extrapolating the revenue for a full 12-month period would give a 12.5% revenue growth for the year and 20% growth in profits. </w:t>
      </w:r>
    </w:p>
    <w:p w14:paraId="0A03B0D1" w14:textId="3B1A9BF5" w:rsidR="001C598A" w:rsidRPr="0023147B" w:rsidRDefault="00BB2E42" w:rsidP="001C598A">
      <w:pPr>
        <w:pStyle w:val="ListParagraph"/>
        <w:ind w:left="567" w:hanging="567"/>
        <w:rPr>
          <w:rFonts w:asciiTheme="minorHAnsi" w:hAnsiTheme="minorHAnsi"/>
          <w:lang w:val="en-GB"/>
        </w:rPr>
      </w:pPr>
      <w:r>
        <w:rPr>
          <w:rFonts w:asciiTheme="minorHAnsi" w:hAnsiTheme="minorHAnsi"/>
        </w:rPr>
        <w:t>MMB has been a consistent provider of dividends</w:t>
      </w:r>
      <w:r w:rsidR="0046707C">
        <w:rPr>
          <w:rFonts w:asciiTheme="minorHAnsi" w:hAnsiTheme="minorHAnsi"/>
        </w:rPr>
        <w:t xml:space="preserve">. The 2017/18 dividends of M5,384,000 represents approximately 16% of total dividends received by GoL for the year and MMB’s dividend is the largest </w:t>
      </w:r>
      <w:r w:rsidR="008263D9">
        <w:rPr>
          <w:rFonts w:asciiTheme="minorHAnsi" w:hAnsiTheme="minorHAnsi"/>
        </w:rPr>
        <w:t>of any SOE/Go</w:t>
      </w:r>
      <w:r w:rsidR="00B624C8">
        <w:rPr>
          <w:rFonts w:asciiTheme="minorHAnsi" w:hAnsiTheme="minorHAnsi"/>
        </w:rPr>
        <w:t>L</w:t>
      </w:r>
      <w:r w:rsidR="008263D9">
        <w:rPr>
          <w:rFonts w:asciiTheme="minorHAnsi" w:hAnsiTheme="minorHAnsi"/>
        </w:rPr>
        <w:t xml:space="preserve"> invested company for 2017/18.</w:t>
      </w:r>
    </w:p>
    <w:p w14:paraId="4C78EF3D" w14:textId="06DDD9EE" w:rsidR="0097787B" w:rsidRPr="00D25BE7" w:rsidRDefault="008263D9" w:rsidP="001C598A">
      <w:pPr>
        <w:pStyle w:val="ListParagraph"/>
        <w:ind w:left="567" w:hanging="567"/>
        <w:rPr>
          <w:rFonts w:asciiTheme="minorHAnsi" w:hAnsiTheme="minorHAnsi"/>
          <w:lang w:val="en-GB"/>
        </w:rPr>
      </w:pPr>
      <w:r>
        <w:rPr>
          <w:rFonts w:asciiTheme="minorHAnsi" w:hAnsiTheme="minorHAnsi"/>
        </w:rPr>
        <w:t xml:space="preserve">MMB appears to be strong and should look forward to continued growth for 2018/19 but management are concerned as to the impact </w:t>
      </w:r>
      <w:r w:rsidR="00924367">
        <w:rPr>
          <w:rFonts w:asciiTheme="minorHAnsi" w:hAnsiTheme="minorHAnsi"/>
        </w:rPr>
        <w:t>that</w:t>
      </w:r>
      <w:r>
        <w:rPr>
          <w:rFonts w:asciiTheme="minorHAnsi" w:hAnsiTheme="minorHAnsi"/>
        </w:rPr>
        <w:t xml:space="preserve"> the proposed alcohol levy of 15% </w:t>
      </w:r>
      <w:r w:rsidR="00924367">
        <w:rPr>
          <w:rFonts w:asciiTheme="minorHAnsi" w:hAnsiTheme="minorHAnsi"/>
        </w:rPr>
        <w:t>may have on the future performance of the business.</w:t>
      </w:r>
    </w:p>
    <w:p w14:paraId="0B5C74BC" w14:textId="0383536A" w:rsidR="00F46070" w:rsidRPr="0023147B" w:rsidRDefault="00737CE6">
      <w:pPr>
        <w:pStyle w:val="ListParagraph"/>
        <w:ind w:left="567" w:hanging="567"/>
        <w:rPr>
          <w:rFonts w:asciiTheme="minorHAnsi" w:hAnsiTheme="minorHAnsi"/>
          <w:lang w:val="en-GB"/>
        </w:rPr>
      </w:pPr>
      <w:r w:rsidRPr="001747A7">
        <w:rPr>
          <w:rFonts w:asciiTheme="minorHAnsi" w:hAnsiTheme="minorHAnsi"/>
          <w:b/>
          <w:sz w:val="24"/>
          <w:szCs w:val="24"/>
          <w:lang w:val="en-GB"/>
        </w:rPr>
        <w:t>Loti Brick (Pty) Ltd</w:t>
      </w:r>
      <w:r w:rsidR="001747A7">
        <w:rPr>
          <w:rFonts w:asciiTheme="minorHAnsi" w:hAnsiTheme="minorHAnsi"/>
          <w:b/>
          <w:sz w:val="24"/>
          <w:szCs w:val="24"/>
          <w:lang w:val="en-GB"/>
        </w:rPr>
        <w:t>.</w:t>
      </w:r>
      <w:r w:rsidRPr="00D25BE7">
        <w:rPr>
          <w:rFonts w:asciiTheme="minorHAnsi" w:hAnsiTheme="minorHAnsi"/>
          <w:lang w:val="en-GB"/>
        </w:rPr>
        <w:t xml:space="preserve"> Loti Brick is controlled by Government through LNDC being the major shareholder (73.6%)</w:t>
      </w:r>
      <w:r w:rsidR="00CF0985">
        <w:rPr>
          <w:rFonts w:asciiTheme="minorHAnsi" w:hAnsiTheme="minorHAnsi"/>
          <w:lang w:val="en-GB"/>
        </w:rPr>
        <w:t>. GoL</w:t>
      </w:r>
      <w:r w:rsidR="00EF2FDE">
        <w:rPr>
          <w:rFonts w:asciiTheme="minorHAnsi" w:hAnsiTheme="minorHAnsi"/>
          <w:lang w:val="en-GB"/>
        </w:rPr>
        <w:t xml:space="preserve"> </w:t>
      </w:r>
      <w:r w:rsidR="00CF0985">
        <w:rPr>
          <w:rFonts w:asciiTheme="minorHAnsi" w:hAnsiTheme="minorHAnsi"/>
          <w:lang w:val="en-GB"/>
        </w:rPr>
        <w:t>has</w:t>
      </w:r>
      <w:r w:rsidR="00EF2FDE">
        <w:rPr>
          <w:rFonts w:asciiTheme="minorHAnsi" w:hAnsiTheme="minorHAnsi"/>
          <w:lang w:val="en-GB"/>
        </w:rPr>
        <w:t xml:space="preserve"> </w:t>
      </w:r>
      <w:r w:rsidRPr="00D25BE7">
        <w:rPr>
          <w:rFonts w:asciiTheme="minorHAnsi" w:hAnsiTheme="minorHAnsi"/>
          <w:lang w:val="en-GB"/>
        </w:rPr>
        <w:t xml:space="preserve">22.8% and </w:t>
      </w:r>
      <w:r w:rsidR="00CF0985" w:rsidRPr="0023147B">
        <w:rPr>
          <w:rFonts w:asciiTheme="minorHAnsi" w:hAnsiTheme="minorHAnsi" w:cs="Arial"/>
          <w:szCs w:val="22"/>
          <w:lang w:val="en-GB"/>
        </w:rPr>
        <w:t>Lesotho Energy Enterprise</w:t>
      </w:r>
      <w:r w:rsidR="00CF0985" w:rsidRPr="00D25BE7">
        <w:rPr>
          <w:rFonts w:asciiTheme="minorHAnsi" w:hAnsiTheme="minorHAnsi"/>
          <w:lang w:val="en-GB"/>
        </w:rPr>
        <w:t xml:space="preserve"> </w:t>
      </w:r>
      <w:r w:rsidR="00CF0985">
        <w:rPr>
          <w:rFonts w:asciiTheme="minorHAnsi" w:hAnsiTheme="minorHAnsi"/>
          <w:lang w:val="en-GB"/>
        </w:rPr>
        <w:t>h</w:t>
      </w:r>
      <w:r w:rsidRPr="00D25BE7">
        <w:rPr>
          <w:rFonts w:asciiTheme="minorHAnsi" w:hAnsiTheme="minorHAnsi"/>
          <w:lang w:val="en-GB"/>
        </w:rPr>
        <w:t>a</w:t>
      </w:r>
      <w:r w:rsidR="00CF0985">
        <w:rPr>
          <w:rFonts w:asciiTheme="minorHAnsi" w:hAnsiTheme="minorHAnsi"/>
          <w:lang w:val="en-GB"/>
        </w:rPr>
        <w:t>s</w:t>
      </w:r>
      <w:r w:rsidRPr="00D25BE7">
        <w:rPr>
          <w:rFonts w:asciiTheme="minorHAnsi" w:hAnsiTheme="minorHAnsi"/>
          <w:lang w:val="en-GB"/>
        </w:rPr>
        <w:t xml:space="preserve"> </w:t>
      </w:r>
      <w:r w:rsidR="00CF0985">
        <w:rPr>
          <w:rFonts w:asciiTheme="minorHAnsi" w:hAnsiTheme="minorHAnsi"/>
          <w:lang w:val="en-GB"/>
        </w:rPr>
        <w:t xml:space="preserve">the </w:t>
      </w:r>
      <w:r w:rsidRPr="00D25BE7">
        <w:rPr>
          <w:rFonts w:asciiTheme="minorHAnsi" w:hAnsiTheme="minorHAnsi"/>
          <w:lang w:val="en-GB"/>
        </w:rPr>
        <w:t>minority shareholding of 3.6</w:t>
      </w:r>
      <w:r w:rsidRPr="00F46070">
        <w:rPr>
          <w:rFonts w:asciiTheme="minorHAnsi" w:hAnsiTheme="minorHAnsi"/>
          <w:lang w:val="en-GB"/>
        </w:rPr>
        <w:t xml:space="preserve">%. </w:t>
      </w:r>
      <w:r w:rsidR="00F46070" w:rsidRPr="0023147B">
        <w:rPr>
          <w:rFonts w:asciiTheme="minorHAnsi" w:hAnsiTheme="minorHAnsi"/>
          <w:lang w:val="en-GB"/>
        </w:rPr>
        <w:t>However, it is unclear who the minority shareholder actually is; Lesotho Energy Enterprises Ltd has been ‘struck off’ the business register, so there is no public information available. It is concerning that a shareholder cannot be identified.</w:t>
      </w:r>
    </w:p>
    <w:p w14:paraId="10EF0CC8" w14:textId="4B2875E8" w:rsidR="00737CE6" w:rsidRPr="00D25BE7" w:rsidRDefault="00737CE6" w:rsidP="00737CE6">
      <w:pPr>
        <w:pStyle w:val="ListParagraph"/>
        <w:ind w:left="426" w:hanging="426"/>
        <w:rPr>
          <w:rFonts w:asciiTheme="minorHAnsi" w:hAnsiTheme="minorHAnsi"/>
          <w:color w:val="000000" w:themeColor="text1"/>
          <w:szCs w:val="22"/>
          <w:lang w:val="en-GB"/>
        </w:rPr>
      </w:pPr>
      <w:r w:rsidRPr="00D25BE7">
        <w:rPr>
          <w:rFonts w:asciiTheme="minorHAnsi" w:hAnsiTheme="minorHAnsi"/>
          <w:lang w:val="en-GB"/>
        </w:rPr>
        <w:t xml:space="preserve">The performance trend for Loti Brick is one of </w:t>
      </w:r>
      <w:r w:rsidR="00445CE6">
        <w:rPr>
          <w:rFonts w:asciiTheme="minorHAnsi" w:hAnsiTheme="minorHAnsi"/>
          <w:lang w:val="en-GB"/>
        </w:rPr>
        <w:t>significant</w:t>
      </w:r>
      <w:r w:rsidR="00445CE6" w:rsidRPr="00D25BE7">
        <w:rPr>
          <w:rFonts w:asciiTheme="minorHAnsi" w:hAnsiTheme="minorHAnsi"/>
          <w:lang w:val="en-GB"/>
        </w:rPr>
        <w:t xml:space="preserve"> </w:t>
      </w:r>
      <w:r w:rsidR="001C1353" w:rsidRPr="00D25BE7">
        <w:rPr>
          <w:rFonts w:asciiTheme="minorHAnsi" w:hAnsiTheme="minorHAnsi"/>
          <w:lang w:val="en-GB"/>
        </w:rPr>
        <w:t>concern</w:t>
      </w:r>
      <w:r w:rsidRPr="00D25BE7">
        <w:rPr>
          <w:rFonts w:asciiTheme="minorHAnsi" w:hAnsiTheme="minorHAnsi"/>
          <w:lang w:val="en-GB"/>
        </w:rPr>
        <w:t xml:space="preserve">. </w:t>
      </w:r>
      <w:r w:rsidR="008E612F">
        <w:rPr>
          <w:rFonts w:asciiTheme="minorHAnsi" w:hAnsiTheme="minorHAnsi"/>
          <w:lang w:val="en-GB"/>
        </w:rPr>
        <w:t xml:space="preserve">The 2014/15 </w:t>
      </w:r>
      <w:r w:rsidR="0003089F">
        <w:rPr>
          <w:rFonts w:asciiTheme="minorHAnsi" w:hAnsiTheme="minorHAnsi"/>
          <w:lang w:val="en-GB"/>
        </w:rPr>
        <w:t xml:space="preserve">AFS were qualified and the 2015/16 AFS were given an adverse opinion. The AFS for 2016/17 and 2017/18 are ‘in progress’. </w:t>
      </w:r>
      <w:r w:rsidR="001C1353" w:rsidRPr="00D25BE7">
        <w:rPr>
          <w:rFonts w:asciiTheme="minorHAnsi" w:hAnsiTheme="minorHAnsi"/>
          <w:lang w:val="en-GB"/>
        </w:rPr>
        <w:t>The delay in producing financial statements is contrary to the Companies Act and PFMAA requirements, is unacceptable and fuels the concerns of deteriorating performance. Although the value of Government’s ownership is not among the largest for SOEs, the deteriorating performance provides significant fiscal risk.</w:t>
      </w:r>
    </w:p>
    <w:p w14:paraId="31998AD2" w14:textId="7C4E6936" w:rsidR="001C1353" w:rsidRPr="00B74536" w:rsidRDefault="001C1353" w:rsidP="00737CE6">
      <w:pPr>
        <w:pStyle w:val="ListParagraph"/>
        <w:ind w:left="426" w:hanging="426"/>
        <w:rPr>
          <w:rFonts w:asciiTheme="minorHAnsi" w:hAnsiTheme="minorHAnsi"/>
          <w:color w:val="000000" w:themeColor="text1"/>
          <w:szCs w:val="22"/>
          <w:lang w:val="en-GB"/>
        </w:rPr>
      </w:pPr>
      <w:r w:rsidRPr="00D25BE7">
        <w:rPr>
          <w:rFonts w:asciiTheme="minorHAnsi" w:hAnsiTheme="minorHAnsi"/>
          <w:lang w:val="en-GB"/>
        </w:rPr>
        <w:t xml:space="preserve">LNDC is the major shareholder and as indicated </w:t>
      </w:r>
      <w:r w:rsidR="00332B6B">
        <w:rPr>
          <w:rFonts w:asciiTheme="minorHAnsi" w:hAnsiTheme="minorHAnsi"/>
          <w:lang w:val="en-GB"/>
        </w:rPr>
        <w:t>earlier in this report</w:t>
      </w:r>
      <w:r w:rsidRPr="00D25BE7">
        <w:rPr>
          <w:rFonts w:asciiTheme="minorHAnsi" w:hAnsiTheme="minorHAnsi"/>
          <w:lang w:val="en-GB"/>
        </w:rPr>
        <w:t>, LNDC needs to re-evaluate its role in ownership of industrial and trading companies</w:t>
      </w:r>
      <w:r w:rsidR="00445CE6">
        <w:rPr>
          <w:rFonts w:asciiTheme="minorHAnsi" w:hAnsiTheme="minorHAnsi"/>
          <w:lang w:val="en-GB"/>
        </w:rPr>
        <w:t xml:space="preserve">, particularly where it does not appear </w:t>
      </w:r>
      <w:r w:rsidR="00445CE6">
        <w:rPr>
          <w:rFonts w:asciiTheme="minorHAnsi" w:hAnsiTheme="minorHAnsi"/>
          <w:lang w:val="en-GB"/>
        </w:rPr>
        <w:lastRenderedPageBreak/>
        <w:t>to be adding value to the management and performance of the company</w:t>
      </w:r>
      <w:r w:rsidR="00332B6B">
        <w:rPr>
          <w:rFonts w:asciiTheme="minorHAnsi" w:hAnsiTheme="minorHAnsi"/>
          <w:lang w:val="en-GB"/>
        </w:rPr>
        <w:t>, nor ensuring compliance with the PFMAA and the Companies Act</w:t>
      </w:r>
      <w:r w:rsidRPr="00B74536">
        <w:rPr>
          <w:rFonts w:asciiTheme="minorHAnsi" w:hAnsiTheme="minorHAnsi"/>
          <w:lang w:val="en-GB"/>
        </w:rPr>
        <w:t xml:space="preserve">. LNDC </w:t>
      </w:r>
      <w:r w:rsidR="0074083F" w:rsidRPr="00B74536">
        <w:rPr>
          <w:rFonts w:asciiTheme="minorHAnsi" w:hAnsiTheme="minorHAnsi"/>
          <w:lang w:val="en-GB"/>
        </w:rPr>
        <w:t xml:space="preserve">has commissioned an external </w:t>
      </w:r>
      <w:r w:rsidR="006079B7" w:rsidRPr="00B74536">
        <w:rPr>
          <w:rFonts w:asciiTheme="minorHAnsi" w:hAnsiTheme="minorHAnsi"/>
          <w:lang w:val="en-GB"/>
        </w:rPr>
        <w:t xml:space="preserve">consultancy company to provide a </w:t>
      </w:r>
      <w:r w:rsidR="0074083F" w:rsidRPr="00B74536">
        <w:rPr>
          <w:rFonts w:asciiTheme="minorHAnsi" w:hAnsiTheme="minorHAnsi"/>
          <w:lang w:val="en-GB"/>
        </w:rPr>
        <w:t xml:space="preserve">detailed report on Loti Brick and how </w:t>
      </w:r>
      <w:r w:rsidR="00B61C40" w:rsidRPr="00B74536">
        <w:rPr>
          <w:rFonts w:asciiTheme="minorHAnsi" w:hAnsiTheme="minorHAnsi"/>
          <w:lang w:val="en-GB"/>
        </w:rPr>
        <w:t xml:space="preserve">(or if) </w:t>
      </w:r>
      <w:r w:rsidR="0074083F" w:rsidRPr="00B74536">
        <w:rPr>
          <w:rFonts w:asciiTheme="minorHAnsi" w:hAnsiTheme="minorHAnsi"/>
          <w:lang w:val="en-GB"/>
        </w:rPr>
        <w:t xml:space="preserve">it can be </w:t>
      </w:r>
      <w:r w:rsidR="00B61C40" w:rsidRPr="00B74536">
        <w:rPr>
          <w:rFonts w:asciiTheme="minorHAnsi" w:hAnsiTheme="minorHAnsi"/>
          <w:lang w:val="en-GB"/>
        </w:rPr>
        <w:t xml:space="preserve">restructured to ensure sustainability. </w:t>
      </w:r>
      <w:r w:rsidR="008338B4" w:rsidRPr="00B74536">
        <w:rPr>
          <w:rFonts w:asciiTheme="minorHAnsi" w:hAnsiTheme="minorHAnsi"/>
          <w:lang w:val="en-GB"/>
        </w:rPr>
        <w:t xml:space="preserve">The report has identified a number of issues relating to equipment maintenance, </w:t>
      </w:r>
      <w:r w:rsidR="00E70D11" w:rsidRPr="00B74536">
        <w:rPr>
          <w:rFonts w:asciiTheme="minorHAnsi" w:hAnsiTheme="minorHAnsi"/>
          <w:lang w:val="en-GB"/>
        </w:rPr>
        <w:t xml:space="preserve">quality of output and reject products as well as some recommendations regarding consolidation of product lines that could support the restructuring and renovation of the business. It is hoped that decisions can be taken in the near future that will </w:t>
      </w:r>
      <w:r w:rsidR="00B74536" w:rsidRPr="00B74536">
        <w:rPr>
          <w:rFonts w:asciiTheme="minorHAnsi" w:hAnsiTheme="minorHAnsi"/>
          <w:lang w:val="en-GB"/>
        </w:rPr>
        <w:t>determine the future of the company.</w:t>
      </w:r>
    </w:p>
    <w:p w14:paraId="28B71AF8" w14:textId="77777777" w:rsidR="00737CE6" w:rsidRPr="00D25BE7" w:rsidRDefault="00737CE6" w:rsidP="00737CE6">
      <w:pPr>
        <w:rPr>
          <w:rFonts w:asciiTheme="minorHAnsi" w:hAnsiTheme="minorHAnsi"/>
          <w:color w:val="000000" w:themeColor="text1"/>
          <w:szCs w:val="22"/>
          <w:lang w:val="en-GB"/>
        </w:rPr>
      </w:pPr>
    </w:p>
    <w:p w14:paraId="139271E4" w14:textId="3A70BDB7" w:rsidR="00737CE6" w:rsidRPr="00D25BE7" w:rsidRDefault="00737CE6" w:rsidP="00737CE6">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Relevant performance data for FY’1</w:t>
      </w:r>
      <w:r w:rsidR="00FF0FDF">
        <w:rPr>
          <w:rFonts w:asciiTheme="minorHAnsi" w:hAnsiTheme="minorHAnsi"/>
          <w:color w:val="000000" w:themeColor="text1"/>
          <w:lang w:val="en-GB"/>
        </w:rPr>
        <w:t>8</w:t>
      </w:r>
      <w:r w:rsidRPr="00D25BE7">
        <w:rPr>
          <w:rFonts w:asciiTheme="minorHAnsi" w:hAnsiTheme="minorHAnsi"/>
          <w:color w:val="000000" w:themeColor="text1"/>
          <w:lang w:val="en-GB"/>
        </w:rPr>
        <w:t xml:space="preserve"> is:</w:t>
      </w:r>
    </w:p>
    <w:p w14:paraId="7427EA7A" w14:textId="07FE345D" w:rsidR="00737CE6" w:rsidRPr="0023147B" w:rsidRDefault="00737CE6" w:rsidP="00737CE6">
      <w:pPr>
        <w:rPr>
          <w:rFonts w:asciiTheme="minorHAnsi" w:hAnsiTheme="minorHAnsi"/>
          <w:b/>
          <w:sz w:val="20"/>
          <w:lang w:val="en-GB"/>
        </w:rPr>
      </w:pPr>
      <w:r w:rsidRPr="0023147B">
        <w:rPr>
          <w:rFonts w:asciiTheme="minorHAnsi" w:hAnsiTheme="minorHAnsi"/>
          <w:b/>
          <w:sz w:val="20"/>
          <w:lang w:val="en-GB"/>
        </w:rPr>
        <w:t>Table 1</w:t>
      </w:r>
      <w:r w:rsidR="00E16661">
        <w:rPr>
          <w:rFonts w:asciiTheme="minorHAnsi" w:hAnsiTheme="minorHAnsi"/>
          <w:b/>
          <w:sz w:val="20"/>
          <w:lang w:val="en-GB"/>
        </w:rPr>
        <w:t>7</w:t>
      </w:r>
      <w:r w:rsidRPr="0023147B">
        <w:rPr>
          <w:rFonts w:asciiTheme="minorHAnsi" w:hAnsiTheme="minorHAnsi"/>
          <w:b/>
          <w:sz w:val="20"/>
          <w:lang w:val="en-GB"/>
        </w:rPr>
        <w:t>: Performance Highlights – Loti Brick</w:t>
      </w:r>
    </w:p>
    <w:p w14:paraId="2BA1BC8F" w14:textId="77777777" w:rsidR="00B61C40" w:rsidRPr="00D25BE7" w:rsidRDefault="00B61C40" w:rsidP="00737CE6">
      <w:pPr>
        <w:rPr>
          <w:rFonts w:asciiTheme="minorHAnsi" w:hAnsiTheme="minorHAnsi"/>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286"/>
        <w:gridCol w:w="1287"/>
        <w:gridCol w:w="1287"/>
        <w:gridCol w:w="1287"/>
        <w:gridCol w:w="1287"/>
      </w:tblGrid>
      <w:tr w:rsidR="00C11AA4" w:rsidRPr="005C613E" w14:paraId="172AF889" w14:textId="77777777" w:rsidTr="005C613E">
        <w:trPr>
          <w:trHeight w:val="360"/>
          <w:tblHeader/>
          <w:jc w:val="center"/>
        </w:trPr>
        <w:tc>
          <w:tcPr>
            <w:tcW w:w="1839" w:type="dxa"/>
            <w:shd w:val="clear" w:color="auto" w:fill="D9D9D9" w:themeFill="background1" w:themeFillShade="D9"/>
            <w:noWrap/>
            <w:vAlign w:val="center"/>
            <w:hideMark/>
          </w:tcPr>
          <w:p w14:paraId="3A5B426E" w14:textId="77777777" w:rsidR="00C11AA4" w:rsidRPr="005C613E" w:rsidRDefault="00C11AA4" w:rsidP="005A1DD4">
            <w:pPr>
              <w:ind w:firstLine="42"/>
              <w:rPr>
                <w:rFonts w:asciiTheme="minorHAnsi" w:hAnsiTheme="minorHAnsi"/>
                <w:sz w:val="18"/>
                <w:szCs w:val="18"/>
                <w:lang w:eastAsia="en-GB"/>
              </w:rPr>
            </w:pPr>
            <w:r w:rsidRPr="005C613E">
              <w:rPr>
                <w:rFonts w:asciiTheme="minorHAnsi" w:hAnsiTheme="minorHAnsi"/>
                <w:sz w:val="18"/>
                <w:szCs w:val="18"/>
                <w:lang w:eastAsia="en-GB"/>
              </w:rPr>
              <w:t>Performance Highlights (M '000)</w:t>
            </w:r>
          </w:p>
        </w:tc>
        <w:tc>
          <w:tcPr>
            <w:tcW w:w="1286" w:type="dxa"/>
            <w:shd w:val="clear" w:color="auto" w:fill="D9D9D9" w:themeFill="background1" w:themeFillShade="D9"/>
            <w:vAlign w:val="center"/>
          </w:tcPr>
          <w:p w14:paraId="5A105664" w14:textId="77777777" w:rsidR="00C11AA4" w:rsidRPr="005C613E" w:rsidRDefault="00C11AA4" w:rsidP="005A1DD4">
            <w:pPr>
              <w:jc w:val="center"/>
              <w:rPr>
                <w:rFonts w:asciiTheme="minorHAnsi" w:hAnsiTheme="minorHAnsi" w:cstheme="minorHAnsi"/>
                <w:b/>
                <w:bCs/>
                <w:color w:val="000000"/>
                <w:sz w:val="18"/>
                <w:szCs w:val="18"/>
                <w:lang w:eastAsia="en-GB"/>
              </w:rPr>
            </w:pPr>
            <w:r w:rsidRPr="005C613E">
              <w:rPr>
                <w:rFonts w:asciiTheme="minorHAnsi" w:hAnsiTheme="minorHAnsi" w:cstheme="minorHAnsi"/>
                <w:b/>
                <w:bCs/>
                <w:sz w:val="18"/>
                <w:szCs w:val="18"/>
                <w:lang w:eastAsia="en-GB"/>
              </w:rPr>
              <w:t>2014/15</w:t>
            </w:r>
          </w:p>
        </w:tc>
        <w:tc>
          <w:tcPr>
            <w:tcW w:w="1287" w:type="dxa"/>
            <w:shd w:val="clear" w:color="auto" w:fill="D9D9D9" w:themeFill="background1" w:themeFillShade="D9"/>
            <w:vAlign w:val="center"/>
          </w:tcPr>
          <w:p w14:paraId="3FCF31C4" w14:textId="77777777" w:rsidR="00C11AA4" w:rsidRPr="005C613E" w:rsidRDefault="00C11AA4" w:rsidP="005A1DD4">
            <w:pPr>
              <w:jc w:val="center"/>
              <w:rPr>
                <w:rFonts w:asciiTheme="minorHAnsi" w:hAnsiTheme="minorHAnsi" w:cstheme="minorHAnsi"/>
                <w:b/>
                <w:bCs/>
                <w:color w:val="000000"/>
                <w:sz w:val="18"/>
                <w:szCs w:val="18"/>
                <w:lang w:eastAsia="en-GB"/>
              </w:rPr>
            </w:pPr>
            <w:r w:rsidRPr="005C613E">
              <w:rPr>
                <w:rFonts w:asciiTheme="minorHAnsi" w:hAnsiTheme="minorHAnsi" w:cstheme="minorHAnsi"/>
                <w:b/>
                <w:bCs/>
                <w:sz w:val="18"/>
                <w:szCs w:val="18"/>
                <w:lang w:eastAsia="en-GB"/>
              </w:rPr>
              <w:t>2015/16</w:t>
            </w:r>
          </w:p>
        </w:tc>
        <w:tc>
          <w:tcPr>
            <w:tcW w:w="1287" w:type="dxa"/>
            <w:shd w:val="clear" w:color="auto" w:fill="D9D9D9" w:themeFill="background1" w:themeFillShade="D9"/>
            <w:vAlign w:val="center"/>
            <w:hideMark/>
          </w:tcPr>
          <w:p w14:paraId="0AB4F436" w14:textId="77777777" w:rsidR="00C11AA4" w:rsidRPr="005C613E" w:rsidRDefault="00C11AA4" w:rsidP="005A1DD4">
            <w:pPr>
              <w:jc w:val="center"/>
              <w:rPr>
                <w:rFonts w:asciiTheme="minorHAnsi" w:hAnsiTheme="minorHAnsi" w:cstheme="minorHAnsi"/>
                <w:b/>
                <w:bCs/>
                <w:sz w:val="18"/>
                <w:szCs w:val="18"/>
                <w:lang w:eastAsia="en-GB"/>
              </w:rPr>
            </w:pPr>
            <w:r w:rsidRPr="005C613E">
              <w:rPr>
                <w:rFonts w:asciiTheme="minorHAnsi" w:hAnsiTheme="minorHAnsi" w:cstheme="minorHAnsi"/>
                <w:b/>
                <w:bCs/>
                <w:sz w:val="18"/>
                <w:szCs w:val="18"/>
                <w:lang w:eastAsia="en-GB"/>
              </w:rPr>
              <w:t>2016/17</w:t>
            </w:r>
          </w:p>
        </w:tc>
        <w:tc>
          <w:tcPr>
            <w:tcW w:w="1287" w:type="dxa"/>
            <w:shd w:val="clear" w:color="auto" w:fill="D9D9D9" w:themeFill="background1" w:themeFillShade="D9"/>
            <w:vAlign w:val="center"/>
          </w:tcPr>
          <w:p w14:paraId="6F6DFBED" w14:textId="44DE89F4" w:rsidR="00C11AA4" w:rsidRPr="005C613E" w:rsidRDefault="00C11AA4" w:rsidP="005A1DD4">
            <w:pPr>
              <w:jc w:val="center"/>
              <w:rPr>
                <w:rFonts w:asciiTheme="minorHAnsi" w:hAnsiTheme="minorHAnsi" w:cstheme="minorHAnsi"/>
                <w:b/>
                <w:bCs/>
                <w:color w:val="000000"/>
                <w:sz w:val="18"/>
                <w:szCs w:val="18"/>
                <w:lang w:eastAsia="en-GB"/>
              </w:rPr>
            </w:pPr>
            <w:r w:rsidRPr="005C613E">
              <w:rPr>
                <w:rFonts w:asciiTheme="minorHAnsi" w:hAnsiTheme="minorHAnsi" w:cstheme="minorHAnsi"/>
                <w:b/>
                <w:bCs/>
                <w:sz w:val="18"/>
                <w:szCs w:val="18"/>
                <w:lang w:eastAsia="en-GB"/>
              </w:rPr>
              <w:t>2017/18</w:t>
            </w:r>
          </w:p>
        </w:tc>
        <w:tc>
          <w:tcPr>
            <w:tcW w:w="1287" w:type="dxa"/>
            <w:shd w:val="clear" w:color="auto" w:fill="D9D9D9" w:themeFill="background1" w:themeFillShade="D9"/>
            <w:noWrap/>
            <w:vAlign w:val="center"/>
            <w:hideMark/>
          </w:tcPr>
          <w:p w14:paraId="5B098472" w14:textId="54B21FF5" w:rsidR="00C11AA4" w:rsidRPr="005C613E" w:rsidRDefault="00C11AA4" w:rsidP="005A1DD4">
            <w:pPr>
              <w:jc w:val="center"/>
              <w:rPr>
                <w:rFonts w:asciiTheme="minorHAnsi" w:hAnsiTheme="minorHAnsi" w:cstheme="minorHAnsi"/>
                <w:b/>
                <w:bCs/>
                <w:color w:val="000000"/>
                <w:sz w:val="18"/>
                <w:szCs w:val="18"/>
                <w:lang w:eastAsia="en-GB"/>
              </w:rPr>
            </w:pPr>
            <w:r w:rsidRPr="005C613E">
              <w:rPr>
                <w:rFonts w:asciiTheme="minorHAnsi" w:hAnsiTheme="minorHAnsi" w:cstheme="minorHAnsi"/>
                <w:b/>
                <w:bCs/>
                <w:color w:val="000000"/>
                <w:sz w:val="18"/>
                <w:szCs w:val="18"/>
                <w:lang w:eastAsia="en-GB"/>
              </w:rPr>
              <w:t>4-yr Average</w:t>
            </w:r>
          </w:p>
        </w:tc>
      </w:tr>
      <w:tr w:rsidR="00C11AA4" w:rsidRPr="005C613E" w14:paraId="2F723576" w14:textId="77777777" w:rsidTr="005C613E">
        <w:trPr>
          <w:jc w:val="center"/>
        </w:trPr>
        <w:tc>
          <w:tcPr>
            <w:tcW w:w="1839" w:type="dxa"/>
            <w:shd w:val="clear" w:color="000000" w:fill="FFFFFF"/>
            <w:noWrap/>
            <w:vAlign w:val="center"/>
            <w:hideMark/>
          </w:tcPr>
          <w:p w14:paraId="668D618E" w14:textId="77777777" w:rsidR="00C11AA4" w:rsidRPr="005C613E" w:rsidRDefault="00C11AA4" w:rsidP="0023147B">
            <w:pPr>
              <w:spacing w:before="60" w:after="60"/>
              <w:rPr>
                <w:rFonts w:asciiTheme="minorHAnsi" w:hAnsiTheme="minorHAnsi" w:cstheme="minorHAnsi"/>
                <w:sz w:val="18"/>
                <w:szCs w:val="18"/>
                <w:lang w:eastAsia="en-GB"/>
              </w:rPr>
            </w:pPr>
            <w:r w:rsidRPr="005C613E">
              <w:rPr>
                <w:rFonts w:asciiTheme="minorHAnsi" w:hAnsiTheme="minorHAnsi" w:cstheme="minorHAnsi"/>
                <w:sz w:val="18"/>
                <w:szCs w:val="18"/>
                <w:lang w:eastAsia="en-GB"/>
              </w:rPr>
              <w:t>Total Revenue</w:t>
            </w:r>
          </w:p>
        </w:tc>
        <w:tc>
          <w:tcPr>
            <w:tcW w:w="1286" w:type="dxa"/>
            <w:vAlign w:val="center"/>
          </w:tcPr>
          <w:p w14:paraId="58E470DB" w14:textId="1C241179" w:rsidR="00C11AA4" w:rsidRPr="005C613E" w:rsidRDefault="00C11AA4" w:rsidP="0023147B">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31,043</w:t>
            </w:r>
          </w:p>
        </w:tc>
        <w:tc>
          <w:tcPr>
            <w:tcW w:w="1287" w:type="dxa"/>
            <w:vAlign w:val="center"/>
          </w:tcPr>
          <w:p w14:paraId="4ECA6D74" w14:textId="41705EAD" w:rsidR="00C11AA4" w:rsidRPr="005C613E" w:rsidRDefault="00C11AA4" w:rsidP="0023147B">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32,747</w:t>
            </w:r>
          </w:p>
        </w:tc>
        <w:tc>
          <w:tcPr>
            <w:tcW w:w="1287" w:type="dxa"/>
            <w:shd w:val="clear" w:color="auto" w:fill="auto"/>
            <w:noWrap/>
            <w:vAlign w:val="center"/>
          </w:tcPr>
          <w:p w14:paraId="46D5EA8F" w14:textId="122AE2E2" w:rsidR="00C11AA4" w:rsidRPr="005C613E" w:rsidRDefault="00C11AA4" w:rsidP="0023147B">
            <w:pPr>
              <w:spacing w:before="60" w:after="60"/>
              <w:jc w:val="right"/>
              <w:rPr>
                <w:rFonts w:asciiTheme="minorHAnsi" w:hAnsiTheme="minorHAnsi" w:cstheme="minorHAnsi"/>
                <w:color w:val="000000" w:themeColor="text1"/>
                <w:sz w:val="18"/>
                <w:szCs w:val="18"/>
                <w:lang w:eastAsia="en-GB"/>
              </w:rPr>
            </w:pPr>
          </w:p>
        </w:tc>
        <w:tc>
          <w:tcPr>
            <w:tcW w:w="1287" w:type="dxa"/>
            <w:vAlign w:val="center"/>
          </w:tcPr>
          <w:p w14:paraId="24CE1927" w14:textId="124EC3EF" w:rsidR="00C11AA4" w:rsidRPr="005C613E" w:rsidRDefault="00C11AA4" w:rsidP="0023147B">
            <w:pPr>
              <w:spacing w:before="60" w:after="6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17944D9D" w14:textId="76CB7AC2" w:rsidR="00C11AA4" w:rsidRPr="005C613E" w:rsidRDefault="00C11AA4" w:rsidP="0023147B">
            <w:pPr>
              <w:spacing w:before="60" w:after="60"/>
              <w:jc w:val="right"/>
              <w:rPr>
                <w:rFonts w:asciiTheme="minorHAnsi" w:hAnsiTheme="minorHAnsi" w:cstheme="minorHAnsi"/>
                <w:color w:val="000000" w:themeColor="text1"/>
                <w:sz w:val="18"/>
                <w:szCs w:val="18"/>
                <w:lang w:eastAsia="en-GB"/>
              </w:rPr>
            </w:pPr>
          </w:p>
        </w:tc>
      </w:tr>
      <w:tr w:rsidR="00C11AA4" w:rsidRPr="005C613E" w14:paraId="3EFF040E" w14:textId="77777777" w:rsidTr="005C613E">
        <w:trPr>
          <w:jc w:val="center"/>
        </w:trPr>
        <w:tc>
          <w:tcPr>
            <w:tcW w:w="1839" w:type="dxa"/>
            <w:shd w:val="clear" w:color="000000" w:fill="FFFFFF"/>
            <w:noWrap/>
            <w:vAlign w:val="center"/>
            <w:hideMark/>
          </w:tcPr>
          <w:p w14:paraId="4B79B6E6" w14:textId="77777777" w:rsidR="00C11AA4" w:rsidRPr="005C613E" w:rsidRDefault="00C11AA4" w:rsidP="0023147B">
            <w:pPr>
              <w:spacing w:before="60" w:after="60"/>
              <w:rPr>
                <w:rFonts w:asciiTheme="minorHAnsi" w:hAnsiTheme="minorHAnsi" w:cstheme="minorHAnsi"/>
                <w:sz w:val="18"/>
                <w:szCs w:val="18"/>
                <w:lang w:eastAsia="en-GB"/>
              </w:rPr>
            </w:pPr>
            <w:r w:rsidRPr="005C613E">
              <w:rPr>
                <w:rFonts w:asciiTheme="minorHAnsi" w:hAnsiTheme="minorHAnsi" w:cstheme="minorHAnsi"/>
                <w:sz w:val="18"/>
                <w:szCs w:val="18"/>
                <w:lang w:eastAsia="en-GB"/>
              </w:rPr>
              <w:t>Net Operating Profit After Tax</w:t>
            </w:r>
          </w:p>
        </w:tc>
        <w:tc>
          <w:tcPr>
            <w:tcW w:w="1286" w:type="dxa"/>
            <w:vAlign w:val="center"/>
          </w:tcPr>
          <w:p w14:paraId="176A76E4" w14:textId="7FF3A02E" w:rsidR="00C11AA4" w:rsidRPr="005C613E" w:rsidRDefault="00C11AA4" w:rsidP="0023147B">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(9,371)</w:t>
            </w:r>
          </w:p>
        </w:tc>
        <w:tc>
          <w:tcPr>
            <w:tcW w:w="1287" w:type="dxa"/>
            <w:vAlign w:val="center"/>
          </w:tcPr>
          <w:p w14:paraId="6A5FBA6E" w14:textId="36DFE30E" w:rsidR="00C11AA4" w:rsidRPr="005C613E" w:rsidRDefault="00C11AA4" w:rsidP="0023147B">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(11,892)</w:t>
            </w:r>
          </w:p>
        </w:tc>
        <w:tc>
          <w:tcPr>
            <w:tcW w:w="1287" w:type="dxa"/>
            <w:shd w:val="clear" w:color="auto" w:fill="auto"/>
            <w:noWrap/>
            <w:vAlign w:val="center"/>
          </w:tcPr>
          <w:p w14:paraId="757FF13D" w14:textId="72BF5467" w:rsidR="00C11AA4" w:rsidRPr="005C613E" w:rsidRDefault="00C11AA4" w:rsidP="0023147B">
            <w:pPr>
              <w:spacing w:before="60" w:after="60"/>
              <w:jc w:val="right"/>
              <w:rPr>
                <w:rFonts w:asciiTheme="minorHAnsi" w:hAnsiTheme="minorHAnsi" w:cstheme="minorHAnsi"/>
                <w:color w:val="000000" w:themeColor="text1"/>
                <w:sz w:val="18"/>
                <w:szCs w:val="18"/>
                <w:lang w:eastAsia="en-GB"/>
              </w:rPr>
            </w:pPr>
          </w:p>
        </w:tc>
        <w:tc>
          <w:tcPr>
            <w:tcW w:w="1287" w:type="dxa"/>
            <w:vAlign w:val="center"/>
          </w:tcPr>
          <w:p w14:paraId="680F7CFF" w14:textId="3115F68B" w:rsidR="00C11AA4" w:rsidRPr="005C613E" w:rsidRDefault="00C11AA4" w:rsidP="0023147B">
            <w:pPr>
              <w:spacing w:before="60" w:after="6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4856A4D9" w14:textId="0E833E28" w:rsidR="00C11AA4" w:rsidRPr="005C613E" w:rsidRDefault="00C11AA4" w:rsidP="0023147B">
            <w:pPr>
              <w:spacing w:before="60" w:after="60"/>
              <w:jc w:val="right"/>
              <w:rPr>
                <w:rFonts w:asciiTheme="minorHAnsi" w:hAnsiTheme="minorHAnsi" w:cstheme="minorHAnsi"/>
                <w:color w:val="000000" w:themeColor="text1"/>
                <w:sz w:val="18"/>
                <w:szCs w:val="18"/>
                <w:lang w:eastAsia="en-GB"/>
              </w:rPr>
            </w:pPr>
          </w:p>
        </w:tc>
      </w:tr>
      <w:tr w:rsidR="00BA1759" w:rsidRPr="005C613E" w14:paraId="39C45392" w14:textId="77777777" w:rsidTr="005C613E">
        <w:trPr>
          <w:jc w:val="center"/>
        </w:trPr>
        <w:tc>
          <w:tcPr>
            <w:tcW w:w="1839" w:type="dxa"/>
            <w:shd w:val="clear" w:color="000000" w:fill="FFFFFF"/>
            <w:noWrap/>
            <w:vAlign w:val="center"/>
          </w:tcPr>
          <w:p w14:paraId="79D9125C" w14:textId="77777777" w:rsidR="00BA1759" w:rsidRPr="005C613E" w:rsidRDefault="00BA1759" w:rsidP="00210986">
            <w:pPr>
              <w:spacing w:before="60" w:after="60"/>
              <w:rPr>
                <w:rFonts w:asciiTheme="minorHAnsi" w:hAnsiTheme="minorHAnsi" w:cstheme="minorHAnsi"/>
                <w:sz w:val="18"/>
                <w:szCs w:val="18"/>
                <w:lang w:eastAsia="en-GB"/>
              </w:rPr>
            </w:pPr>
            <w:r w:rsidRPr="005C613E">
              <w:rPr>
                <w:rFonts w:asciiTheme="minorHAnsi" w:hAnsiTheme="minorHAnsi" w:cstheme="minorHAnsi"/>
                <w:sz w:val="18"/>
                <w:szCs w:val="18"/>
                <w:lang w:eastAsia="en-GB"/>
              </w:rPr>
              <w:t>Dividends Paid to GoL</w:t>
            </w:r>
          </w:p>
        </w:tc>
        <w:tc>
          <w:tcPr>
            <w:tcW w:w="1286" w:type="dxa"/>
            <w:vAlign w:val="center"/>
          </w:tcPr>
          <w:p w14:paraId="2E53D9F5" w14:textId="77777777" w:rsidR="00BA1759" w:rsidRPr="005C613E" w:rsidRDefault="00BA1759" w:rsidP="00210986">
            <w:pPr>
              <w:tabs>
                <w:tab w:val="center" w:pos="4320"/>
                <w:tab w:val="right" w:pos="8640"/>
              </w:tabs>
              <w:spacing w:before="60" w:after="60"/>
              <w:jc w:val="right"/>
              <w:rPr>
                <w:rFonts w:asciiTheme="minorHAnsi" w:hAnsiTheme="minorHAnsi" w:cstheme="minorHAnsi"/>
                <w:color w:val="000000" w:themeColor="text1"/>
                <w:sz w:val="18"/>
                <w:szCs w:val="18"/>
                <w:lang w:eastAsia="en-GB"/>
              </w:rPr>
            </w:pPr>
          </w:p>
        </w:tc>
        <w:tc>
          <w:tcPr>
            <w:tcW w:w="1287" w:type="dxa"/>
            <w:vAlign w:val="center"/>
          </w:tcPr>
          <w:p w14:paraId="61DD5F3F" w14:textId="77777777" w:rsidR="00BA1759" w:rsidRPr="005C613E" w:rsidRDefault="00BA1759" w:rsidP="00210986">
            <w:pPr>
              <w:tabs>
                <w:tab w:val="center" w:pos="4320"/>
                <w:tab w:val="right" w:pos="8640"/>
              </w:tabs>
              <w:spacing w:before="60" w:after="6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049BEC86" w14:textId="77777777" w:rsidR="00BA1759" w:rsidRPr="005C613E" w:rsidRDefault="00BA1759" w:rsidP="00210986">
            <w:pPr>
              <w:tabs>
                <w:tab w:val="center" w:pos="4320"/>
                <w:tab w:val="right" w:pos="8640"/>
              </w:tabs>
              <w:spacing w:before="60" w:after="60"/>
              <w:jc w:val="right"/>
              <w:rPr>
                <w:rFonts w:asciiTheme="minorHAnsi" w:hAnsiTheme="minorHAnsi" w:cstheme="minorHAnsi"/>
                <w:color w:val="000000" w:themeColor="text1"/>
                <w:sz w:val="18"/>
                <w:szCs w:val="18"/>
                <w:lang w:eastAsia="en-GB"/>
              </w:rPr>
            </w:pPr>
          </w:p>
        </w:tc>
        <w:tc>
          <w:tcPr>
            <w:tcW w:w="1287" w:type="dxa"/>
            <w:vAlign w:val="center"/>
          </w:tcPr>
          <w:p w14:paraId="6CCD9516" w14:textId="77777777" w:rsidR="00BA1759" w:rsidRPr="005C613E" w:rsidRDefault="00BA1759" w:rsidP="00210986">
            <w:pPr>
              <w:tabs>
                <w:tab w:val="center" w:pos="4320"/>
                <w:tab w:val="right" w:pos="8640"/>
              </w:tabs>
              <w:spacing w:before="60" w:after="6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25DD66FA" w14:textId="77777777" w:rsidR="00BA1759" w:rsidRPr="005C613E" w:rsidRDefault="00BA1759" w:rsidP="00210986">
            <w:pPr>
              <w:spacing w:before="60" w:after="60"/>
              <w:jc w:val="right"/>
              <w:rPr>
                <w:rFonts w:asciiTheme="minorHAnsi" w:hAnsiTheme="minorHAnsi" w:cstheme="minorHAnsi"/>
                <w:color w:val="000000" w:themeColor="text1"/>
                <w:sz w:val="18"/>
                <w:szCs w:val="18"/>
                <w:lang w:eastAsia="en-GB"/>
              </w:rPr>
            </w:pPr>
          </w:p>
        </w:tc>
      </w:tr>
      <w:tr w:rsidR="00C11AA4" w:rsidRPr="005C613E" w14:paraId="2D82FA2D" w14:textId="77777777" w:rsidTr="005C613E">
        <w:trPr>
          <w:jc w:val="center"/>
        </w:trPr>
        <w:tc>
          <w:tcPr>
            <w:tcW w:w="1839" w:type="dxa"/>
            <w:shd w:val="clear" w:color="000000" w:fill="FFFFFF"/>
            <w:noWrap/>
            <w:vAlign w:val="center"/>
            <w:hideMark/>
          </w:tcPr>
          <w:p w14:paraId="19F79F6B" w14:textId="77777777" w:rsidR="00C11AA4" w:rsidRPr="005C613E" w:rsidRDefault="00C11AA4" w:rsidP="0023147B">
            <w:pPr>
              <w:spacing w:before="60" w:after="60"/>
              <w:rPr>
                <w:rFonts w:asciiTheme="minorHAnsi" w:hAnsiTheme="minorHAnsi" w:cstheme="minorHAnsi"/>
                <w:sz w:val="18"/>
                <w:szCs w:val="18"/>
                <w:lang w:eastAsia="en-GB"/>
              </w:rPr>
            </w:pPr>
            <w:r w:rsidRPr="005C613E">
              <w:rPr>
                <w:rFonts w:asciiTheme="minorHAnsi" w:hAnsiTheme="minorHAnsi" w:cstheme="minorHAnsi"/>
                <w:sz w:val="18"/>
                <w:szCs w:val="18"/>
                <w:lang w:eastAsia="en-GB"/>
              </w:rPr>
              <w:t>Total Assets</w:t>
            </w:r>
          </w:p>
        </w:tc>
        <w:tc>
          <w:tcPr>
            <w:tcW w:w="1286" w:type="dxa"/>
            <w:vAlign w:val="center"/>
          </w:tcPr>
          <w:p w14:paraId="4BAB9779" w14:textId="50F6C49F" w:rsidR="00C11AA4" w:rsidRPr="005C613E" w:rsidRDefault="00C11AA4" w:rsidP="0023147B">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89,753</w:t>
            </w:r>
          </w:p>
        </w:tc>
        <w:tc>
          <w:tcPr>
            <w:tcW w:w="1287" w:type="dxa"/>
            <w:vAlign w:val="center"/>
          </w:tcPr>
          <w:p w14:paraId="10DEE15D" w14:textId="3FBAA55A" w:rsidR="00C11AA4" w:rsidRPr="005C613E" w:rsidRDefault="00C11AA4" w:rsidP="0023147B">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80,400</w:t>
            </w:r>
          </w:p>
        </w:tc>
        <w:tc>
          <w:tcPr>
            <w:tcW w:w="1287" w:type="dxa"/>
            <w:shd w:val="clear" w:color="auto" w:fill="auto"/>
            <w:noWrap/>
            <w:vAlign w:val="center"/>
          </w:tcPr>
          <w:p w14:paraId="51786F8C" w14:textId="32A0078A" w:rsidR="00C11AA4" w:rsidRPr="005C613E" w:rsidRDefault="00C11AA4" w:rsidP="0023147B">
            <w:pPr>
              <w:spacing w:before="60" w:after="60"/>
              <w:jc w:val="right"/>
              <w:rPr>
                <w:rFonts w:asciiTheme="minorHAnsi" w:hAnsiTheme="minorHAnsi" w:cstheme="minorHAnsi"/>
                <w:color w:val="000000" w:themeColor="text1"/>
                <w:sz w:val="18"/>
                <w:szCs w:val="18"/>
                <w:lang w:eastAsia="en-GB"/>
              </w:rPr>
            </w:pPr>
          </w:p>
        </w:tc>
        <w:tc>
          <w:tcPr>
            <w:tcW w:w="1287" w:type="dxa"/>
            <w:vAlign w:val="center"/>
          </w:tcPr>
          <w:p w14:paraId="59CE622F" w14:textId="404E1931" w:rsidR="00C11AA4" w:rsidRPr="005C613E" w:rsidRDefault="00C11AA4" w:rsidP="0023147B">
            <w:pPr>
              <w:spacing w:before="60" w:after="6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145C21A2" w14:textId="1F6D3390"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r>
      <w:tr w:rsidR="00C11AA4" w:rsidRPr="005C613E" w14:paraId="3A49F552" w14:textId="77777777" w:rsidTr="005C613E">
        <w:trPr>
          <w:jc w:val="center"/>
        </w:trPr>
        <w:tc>
          <w:tcPr>
            <w:tcW w:w="1839" w:type="dxa"/>
            <w:shd w:val="clear" w:color="000000" w:fill="FFFFFF"/>
            <w:noWrap/>
            <w:vAlign w:val="center"/>
            <w:hideMark/>
          </w:tcPr>
          <w:p w14:paraId="14C45E47" w14:textId="77777777" w:rsidR="00C11AA4" w:rsidRPr="005C613E" w:rsidRDefault="00C11AA4" w:rsidP="00114F08">
            <w:pPr>
              <w:spacing w:before="60" w:after="60"/>
              <w:rPr>
                <w:rFonts w:asciiTheme="minorHAnsi" w:hAnsiTheme="minorHAnsi" w:cstheme="minorHAnsi"/>
                <w:sz w:val="18"/>
                <w:szCs w:val="18"/>
                <w:lang w:eastAsia="en-GB"/>
              </w:rPr>
            </w:pPr>
            <w:r w:rsidRPr="005C613E">
              <w:rPr>
                <w:rFonts w:asciiTheme="minorHAnsi" w:hAnsiTheme="minorHAnsi" w:cstheme="minorHAnsi"/>
                <w:sz w:val="18"/>
                <w:szCs w:val="18"/>
                <w:lang w:eastAsia="en-GB"/>
              </w:rPr>
              <w:t>Total Liabilities</w:t>
            </w:r>
          </w:p>
        </w:tc>
        <w:tc>
          <w:tcPr>
            <w:tcW w:w="1286" w:type="dxa"/>
            <w:vAlign w:val="center"/>
          </w:tcPr>
          <w:p w14:paraId="4C6179AC" w14:textId="4CC563A4"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35,950</w:t>
            </w:r>
          </w:p>
        </w:tc>
        <w:tc>
          <w:tcPr>
            <w:tcW w:w="1287" w:type="dxa"/>
            <w:vAlign w:val="center"/>
          </w:tcPr>
          <w:p w14:paraId="528597F2" w14:textId="52E53F8A"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34,087</w:t>
            </w:r>
          </w:p>
        </w:tc>
        <w:tc>
          <w:tcPr>
            <w:tcW w:w="1287" w:type="dxa"/>
            <w:shd w:val="clear" w:color="auto" w:fill="auto"/>
            <w:noWrap/>
            <w:vAlign w:val="center"/>
          </w:tcPr>
          <w:p w14:paraId="6A22FE4C" w14:textId="54842508"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vAlign w:val="center"/>
          </w:tcPr>
          <w:p w14:paraId="68AE9A40" w14:textId="050CBB90"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5B828C37" w14:textId="48A4891B"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r>
      <w:tr w:rsidR="00C11AA4" w:rsidRPr="005C613E" w14:paraId="14DF7AD8" w14:textId="77777777" w:rsidTr="005C613E">
        <w:trPr>
          <w:jc w:val="center"/>
        </w:trPr>
        <w:tc>
          <w:tcPr>
            <w:tcW w:w="1839" w:type="dxa"/>
            <w:shd w:val="clear" w:color="000000" w:fill="FFFFFF"/>
            <w:noWrap/>
            <w:vAlign w:val="center"/>
            <w:hideMark/>
          </w:tcPr>
          <w:p w14:paraId="42550E60" w14:textId="77777777" w:rsidR="00C11AA4" w:rsidRPr="005C613E" w:rsidRDefault="00C11AA4" w:rsidP="00114F08">
            <w:pPr>
              <w:spacing w:before="60" w:after="60"/>
              <w:jc w:val="left"/>
              <w:rPr>
                <w:rFonts w:asciiTheme="minorHAnsi" w:hAnsiTheme="minorHAnsi" w:cstheme="minorHAnsi"/>
                <w:sz w:val="18"/>
                <w:szCs w:val="18"/>
                <w:lang w:eastAsia="en-GB"/>
              </w:rPr>
            </w:pPr>
            <w:r w:rsidRPr="005C613E">
              <w:rPr>
                <w:rFonts w:asciiTheme="minorHAnsi" w:hAnsiTheme="minorHAnsi" w:cstheme="minorHAnsi"/>
                <w:sz w:val="18"/>
                <w:szCs w:val="18"/>
                <w:lang w:eastAsia="en-GB"/>
              </w:rPr>
              <w:t>Shareholders' Funds</w:t>
            </w:r>
          </w:p>
        </w:tc>
        <w:tc>
          <w:tcPr>
            <w:tcW w:w="1286" w:type="dxa"/>
            <w:vAlign w:val="center"/>
          </w:tcPr>
          <w:p w14:paraId="54154C92" w14:textId="57B6FCA2"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53,803</w:t>
            </w:r>
          </w:p>
        </w:tc>
        <w:tc>
          <w:tcPr>
            <w:tcW w:w="1287" w:type="dxa"/>
            <w:vAlign w:val="center"/>
          </w:tcPr>
          <w:p w14:paraId="502752C2" w14:textId="749B7A44"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46,313</w:t>
            </w:r>
          </w:p>
        </w:tc>
        <w:tc>
          <w:tcPr>
            <w:tcW w:w="1287" w:type="dxa"/>
            <w:tcBorders>
              <w:bottom w:val="single" w:sz="4" w:space="0" w:color="auto"/>
            </w:tcBorders>
            <w:shd w:val="clear" w:color="auto" w:fill="auto"/>
            <w:noWrap/>
            <w:vAlign w:val="center"/>
          </w:tcPr>
          <w:p w14:paraId="0F9EAE87" w14:textId="1EC861F0"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tcBorders>
              <w:bottom w:val="single" w:sz="4" w:space="0" w:color="auto"/>
            </w:tcBorders>
            <w:vAlign w:val="center"/>
          </w:tcPr>
          <w:p w14:paraId="4835FEF7" w14:textId="0861FA79"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559A208C" w14:textId="0B52A65F"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r>
      <w:tr w:rsidR="00C11AA4" w:rsidRPr="005C613E" w14:paraId="761E4A42" w14:textId="77777777" w:rsidTr="005C613E">
        <w:trPr>
          <w:jc w:val="center"/>
        </w:trPr>
        <w:tc>
          <w:tcPr>
            <w:tcW w:w="1839" w:type="dxa"/>
            <w:shd w:val="clear" w:color="000000" w:fill="FFFFFF"/>
            <w:noWrap/>
            <w:vAlign w:val="center"/>
          </w:tcPr>
          <w:p w14:paraId="5C787E18" w14:textId="77777777" w:rsidR="00C11AA4" w:rsidRPr="005C613E" w:rsidRDefault="00C11AA4" w:rsidP="00114F08">
            <w:pPr>
              <w:spacing w:before="60" w:after="60"/>
              <w:jc w:val="left"/>
              <w:rPr>
                <w:rFonts w:asciiTheme="minorHAnsi" w:hAnsiTheme="minorHAnsi" w:cstheme="minorHAnsi"/>
                <w:sz w:val="18"/>
                <w:szCs w:val="18"/>
                <w:lang w:eastAsia="en-GB"/>
              </w:rPr>
            </w:pPr>
            <w:r w:rsidRPr="005C613E">
              <w:rPr>
                <w:rFonts w:asciiTheme="minorHAnsi" w:hAnsiTheme="minorHAnsi" w:cstheme="minorHAnsi"/>
                <w:sz w:val="18"/>
                <w:szCs w:val="18"/>
                <w:lang w:eastAsia="en-GB"/>
              </w:rPr>
              <w:t>EBITDA %</w:t>
            </w:r>
          </w:p>
        </w:tc>
        <w:tc>
          <w:tcPr>
            <w:tcW w:w="1286" w:type="dxa"/>
            <w:vAlign w:val="center"/>
          </w:tcPr>
          <w:p w14:paraId="158A3F74" w14:textId="31D2B5F8" w:rsidR="00C11AA4" w:rsidRPr="005C613E" w:rsidRDefault="00ED6455"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13%</w:t>
            </w:r>
          </w:p>
        </w:tc>
        <w:tc>
          <w:tcPr>
            <w:tcW w:w="1287" w:type="dxa"/>
            <w:vAlign w:val="center"/>
          </w:tcPr>
          <w:p w14:paraId="73B10BB8" w14:textId="7B9BC5E7" w:rsidR="00C11AA4" w:rsidRPr="005C613E" w:rsidRDefault="00A25283"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12</w:t>
            </w:r>
            <w:r w:rsidR="00ED6455" w:rsidRPr="005C613E">
              <w:rPr>
                <w:rFonts w:asciiTheme="minorHAnsi" w:hAnsiTheme="minorHAnsi" w:cstheme="minorHAnsi"/>
                <w:color w:val="000000" w:themeColor="text1"/>
                <w:sz w:val="18"/>
                <w:szCs w:val="18"/>
                <w:lang w:eastAsia="en-GB"/>
              </w:rPr>
              <w:t>%</w:t>
            </w:r>
            <w:r w:rsidR="00C11AA4" w:rsidRPr="005C613E">
              <w:rPr>
                <w:rFonts w:asciiTheme="minorHAnsi" w:hAnsiTheme="minorHAnsi" w:cstheme="minorHAnsi"/>
                <w:color w:val="000000" w:themeColor="text1"/>
                <w:sz w:val="18"/>
                <w:szCs w:val="18"/>
                <w:lang w:eastAsia="en-GB"/>
              </w:rPr>
              <w:t xml:space="preserve"> </w:t>
            </w:r>
          </w:p>
        </w:tc>
        <w:tc>
          <w:tcPr>
            <w:tcW w:w="1287" w:type="dxa"/>
            <w:shd w:val="clear" w:color="auto" w:fill="auto"/>
            <w:noWrap/>
            <w:vAlign w:val="center"/>
          </w:tcPr>
          <w:p w14:paraId="6A1B9617" w14:textId="5D1BEA44"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shd w:val="clear" w:color="auto" w:fill="auto"/>
            <w:vAlign w:val="center"/>
          </w:tcPr>
          <w:p w14:paraId="721E1F0C" w14:textId="11BE246C"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3F59E11F" w14:textId="76435FC6"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r>
      <w:tr w:rsidR="00C11AA4" w:rsidRPr="005C613E" w14:paraId="5A81B7C7" w14:textId="77777777" w:rsidTr="005C613E">
        <w:trPr>
          <w:jc w:val="center"/>
        </w:trPr>
        <w:tc>
          <w:tcPr>
            <w:tcW w:w="1839" w:type="dxa"/>
            <w:shd w:val="clear" w:color="000000" w:fill="FFFFFF"/>
            <w:noWrap/>
            <w:vAlign w:val="center"/>
          </w:tcPr>
          <w:p w14:paraId="0313CAAE" w14:textId="77777777" w:rsidR="00C11AA4" w:rsidRPr="005C613E" w:rsidRDefault="00C11AA4" w:rsidP="00114F08">
            <w:pPr>
              <w:spacing w:before="60" w:after="60"/>
              <w:jc w:val="left"/>
              <w:rPr>
                <w:rFonts w:asciiTheme="minorHAnsi" w:hAnsiTheme="minorHAnsi" w:cstheme="minorHAnsi"/>
                <w:sz w:val="18"/>
                <w:szCs w:val="18"/>
                <w:lang w:eastAsia="en-GB"/>
              </w:rPr>
            </w:pPr>
            <w:r w:rsidRPr="005C613E">
              <w:rPr>
                <w:rFonts w:asciiTheme="minorHAnsi" w:hAnsiTheme="minorHAnsi" w:cstheme="minorHAnsi"/>
                <w:sz w:val="18"/>
                <w:szCs w:val="18"/>
                <w:lang w:eastAsia="en-GB"/>
              </w:rPr>
              <w:t>NOPAT %</w:t>
            </w:r>
          </w:p>
        </w:tc>
        <w:tc>
          <w:tcPr>
            <w:tcW w:w="1286" w:type="dxa"/>
            <w:vAlign w:val="center"/>
          </w:tcPr>
          <w:p w14:paraId="29531CB3" w14:textId="05772228"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(30.2%)</w:t>
            </w:r>
          </w:p>
        </w:tc>
        <w:tc>
          <w:tcPr>
            <w:tcW w:w="1287" w:type="dxa"/>
            <w:vAlign w:val="center"/>
          </w:tcPr>
          <w:p w14:paraId="7480CE4D" w14:textId="166B002F"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(3</w:t>
            </w:r>
            <w:r w:rsidR="0016371F" w:rsidRPr="005C613E">
              <w:rPr>
                <w:rFonts w:asciiTheme="minorHAnsi" w:hAnsiTheme="minorHAnsi" w:cstheme="minorHAnsi"/>
                <w:color w:val="000000" w:themeColor="text1"/>
                <w:sz w:val="18"/>
                <w:szCs w:val="18"/>
                <w:lang w:eastAsia="en-GB"/>
              </w:rPr>
              <w:t>4</w:t>
            </w:r>
            <w:r w:rsidRPr="005C613E">
              <w:rPr>
                <w:rFonts w:asciiTheme="minorHAnsi" w:hAnsiTheme="minorHAnsi" w:cstheme="minorHAnsi"/>
                <w:color w:val="000000" w:themeColor="text1"/>
                <w:sz w:val="18"/>
                <w:szCs w:val="18"/>
                <w:lang w:eastAsia="en-GB"/>
              </w:rPr>
              <w:t>.</w:t>
            </w:r>
            <w:r w:rsidR="0016371F" w:rsidRPr="005C613E">
              <w:rPr>
                <w:rFonts w:asciiTheme="minorHAnsi" w:hAnsiTheme="minorHAnsi" w:cstheme="minorHAnsi"/>
                <w:color w:val="000000" w:themeColor="text1"/>
                <w:sz w:val="18"/>
                <w:szCs w:val="18"/>
                <w:lang w:eastAsia="en-GB"/>
              </w:rPr>
              <w:t>5</w:t>
            </w:r>
            <w:r w:rsidRPr="005C613E">
              <w:rPr>
                <w:rFonts w:asciiTheme="minorHAnsi" w:hAnsiTheme="minorHAnsi" w:cstheme="minorHAnsi"/>
                <w:color w:val="000000" w:themeColor="text1"/>
                <w:sz w:val="18"/>
                <w:szCs w:val="18"/>
                <w:lang w:eastAsia="en-GB"/>
              </w:rPr>
              <w:t>%)</w:t>
            </w:r>
          </w:p>
        </w:tc>
        <w:tc>
          <w:tcPr>
            <w:tcW w:w="1287" w:type="dxa"/>
            <w:shd w:val="clear" w:color="auto" w:fill="auto"/>
            <w:noWrap/>
            <w:vAlign w:val="center"/>
          </w:tcPr>
          <w:p w14:paraId="0C775790" w14:textId="41C3EC7B"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shd w:val="clear" w:color="auto" w:fill="auto"/>
            <w:vAlign w:val="center"/>
          </w:tcPr>
          <w:p w14:paraId="17AD4BFF" w14:textId="2F072FDD"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5966DEE4" w14:textId="12F729B1"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r>
      <w:tr w:rsidR="00C11AA4" w:rsidRPr="005C613E" w14:paraId="6F2DFDF9" w14:textId="77777777" w:rsidTr="005C613E">
        <w:trPr>
          <w:jc w:val="center"/>
        </w:trPr>
        <w:tc>
          <w:tcPr>
            <w:tcW w:w="1839" w:type="dxa"/>
            <w:shd w:val="clear" w:color="000000" w:fill="FFFFFF"/>
            <w:noWrap/>
            <w:vAlign w:val="center"/>
            <w:hideMark/>
          </w:tcPr>
          <w:p w14:paraId="3D743D29" w14:textId="77777777" w:rsidR="00C11AA4" w:rsidRPr="005C613E" w:rsidRDefault="00C11AA4" w:rsidP="00114F08">
            <w:pPr>
              <w:spacing w:before="60" w:after="60"/>
              <w:jc w:val="left"/>
              <w:rPr>
                <w:rFonts w:asciiTheme="minorHAnsi" w:hAnsiTheme="minorHAnsi" w:cstheme="minorHAnsi"/>
                <w:sz w:val="18"/>
                <w:szCs w:val="18"/>
                <w:lang w:eastAsia="en-GB"/>
              </w:rPr>
            </w:pPr>
            <w:r w:rsidRPr="005C613E">
              <w:rPr>
                <w:rFonts w:asciiTheme="minorHAnsi" w:hAnsiTheme="minorHAnsi" w:cstheme="minorHAnsi"/>
                <w:sz w:val="18"/>
                <w:szCs w:val="18"/>
                <w:lang w:eastAsia="en-GB"/>
              </w:rPr>
              <w:t>ROE %</w:t>
            </w:r>
          </w:p>
        </w:tc>
        <w:tc>
          <w:tcPr>
            <w:tcW w:w="1286" w:type="dxa"/>
            <w:vAlign w:val="center"/>
          </w:tcPr>
          <w:p w14:paraId="2F5B2F01" w14:textId="3F77439C"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(17.4%)</w:t>
            </w:r>
          </w:p>
        </w:tc>
        <w:tc>
          <w:tcPr>
            <w:tcW w:w="1287" w:type="dxa"/>
            <w:vAlign w:val="center"/>
          </w:tcPr>
          <w:p w14:paraId="5826FC6C" w14:textId="21F2BEC7"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(2</w:t>
            </w:r>
            <w:r w:rsidR="002277BF" w:rsidRPr="005C613E">
              <w:rPr>
                <w:rFonts w:asciiTheme="minorHAnsi" w:hAnsiTheme="minorHAnsi" w:cstheme="minorHAnsi"/>
                <w:color w:val="000000" w:themeColor="text1"/>
                <w:sz w:val="18"/>
                <w:szCs w:val="18"/>
                <w:lang w:eastAsia="en-GB"/>
              </w:rPr>
              <w:t>4.4</w:t>
            </w:r>
            <w:r w:rsidRPr="005C613E">
              <w:rPr>
                <w:rFonts w:asciiTheme="minorHAnsi" w:hAnsiTheme="minorHAnsi" w:cstheme="minorHAnsi"/>
                <w:color w:val="000000" w:themeColor="text1"/>
                <w:sz w:val="18"/>
                <w:szCs w:val="18"/>
                <w:lang w:eastAsia="en-GB"/>
              </w:rPr>
              <w:t>%)</w:t>
            </w:r>
          </w:p>
        </w:tc>
        <w:tc>
          <w:tcPr>
            <w:tcW w:w="1287" w:type="dxa"/>
            <w:shd w:val="clear" w:color="auto" w:fill="auto"/>
            <w:noWrap/>
            <w:vAlign w:val="center"/>
          </w:tcPr>
          <w:p w14:paraId="6AAEAAE0" w14:textId="6B208040"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vAlign w:val="center"/>
          </w:tcPr>
          <w:p w14:paraId="0C35FB9C" w14:textId="58E50CF6"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49DE45F1" w14:textId="1453F132"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r>
      <w:tr w:rsidR="00C11AA4" w:rsidRPr="005C613E" w14:paraId="09006FB2" w14:textId="77777777" w:rsidTr="005C613E">
        <w:trPr>
          <w:jc w:val="center"/>
        </w:trPr>
        <w:tc>
          <w:tcPr>
            <w:tcW w:w="1839" w:type="dxa"/>
            <w:shd w:val="clear" w:color="000000" w:fill="FFFFFF"/>
            <w:noWrap/>
            <w:vAlign w:val="center"/>
            <w:hideMark/>
          </w:tcPr>
          <w:p w14:paraId="527527FA" w14:textId="77777777" w:rsidR="00C11AA4" w:rsidRPr="005C613E" w:rsidRDefault="00C11AA4" w:rsidP="00114F08">
            <w:pPr>
              <w:spacing w:before="60" w:after="60"/>
              <w:jc w:val="left"/>
              <w:rPr>
                <w:rFonts w:asciiTheme="minorHAnsi" w:hAnsiTheme="minorHAnsi" w:cstheme="minorHAnsi"/>
                <w:sz w:val="18"/>
                <w:szCs w:val="18"/>
                <w:lang w:eastAsia="en-GB"/>
              </w:rPr>
            </w:pPr>
            <w:r w:rsidRPr="005C613E">
              <w:rPr>
                <w:rFonts w:asciiTheme="minorHAnsi" w:hAnsiTheme="minorHAnsi" w:cstheme="minorHAnsi"/>
                <w:sz w:val="18"/>
                <w:szCs w:val="18"/>
                <w:lang w:eastAsia="en-GB"/>
              </w:rPr>
              <w:t>ROA %</w:t>
            </w:r>
          </w:p>
        </w:tc>
        <w:tc>
          <w:tcPr>
            <w:tcW w:w="1286" w:type="dxa"/>
            <w:vAlign w:val="center"/>
          </w:tcPr>
          <w:p w14:paraId="738B78A9" w14:textId="21A7FB1C"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(10.4%)</w:t>
            </w:r>
          </w:p>
        </w:tc>
        <w:tc>
          <w:tcPr>
            <w:tcW w:w="1287" w:type="dxa"/>
            <w:vAlign w:val="center"/>
          </w:tcPr>
          <w:p w14:paraId="48A0D93D" w14:textId="662F20FE"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(14.</w:t>
            </w:r>
            <w:r w:rsidR="002277BF" w:rsidRPr="005C613E">
              <w:rPr>
                <w:rFonts w:asciiTheme="minorHAnsi" w:hAnsiTheme="minorHAnsi" w:cstheme="minorHAnsi"/>
                <w:color w:val="000000" w:themeColor="text1"/>
                <w:sz w:val="18"/>
                <w:szCs w:val="18"/>
                <w:lang w:eastAsia="en-GB"/>
              </w:rPr>
              <w:t>0</w:t>
            </w:r>
            <w:r w:rsidRPr="005C613E">
              <w:rPr>
                <w:rFonts w:asciiTheme="minorHAnsi" w:hAnsiTheme="minorHAnsi" w:cstheme="minorHAnsi"/>
                <w:color w:val="000000" w:themeColor="text1"/>
                <w:sz w:val="18"/>
                <w:szCs w:val="18"/>
                <w:lang w:eastAsia="en-GB"/>
              </w:rPr>
              <w:t>%)</w:t>
            </w:r>
          </w:p>
        </w:tc>
        <w:tc>
          <w:tcPr>
            <w:tcW w:w="1287" w:type="dxa"/>
            <w:shd w:val="clear" w:color="auto" w:fill="auto"/>
            <w:noWrap/>
            <w:vAlign w:val="center"/>
          </w:tcPr>
          <w:p w14:paraId="5DBADE16" w14:textId="39119221"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vAlign w:val="center"/>
          </w:tcPr>
          <w:p w14:paraId="089491F2" w14:textId="721FDE5E"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64E6E588" w14:textId="3C67BCC4"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r>
      <w:tr w:rsidR="00C11AA4" w:rsidRPr="005C613E" w14:paraId="7692A1B4" w14:textId="77777777" w:rsidTr="005C613E">
        <w:trPr>
          <w:jc w:val="center"/>
        </w:trPr>
        <w:tc>
          <w:tcPr>
            <w:tcW w:w="1839" w:type="dxa"/>
            <w:shd w:val="clear" w:color="000000" w:fill="FFFFFF"/>
            <w:noWrap/>
            <w:vAlign w:val="center"/>
          </w:tcPr>
          <w:p w14:paraId="70C9B89B" w14:textId="77777777" w:rsidR="00C11AA4" w:rsidRPr="005C613E" w:rsidRDefault="00C11AA4" w:rsidP="00114F08">
            <w:pPr>
              <w:spacing w:before="60" w:after="60"/>
              <w:jc w:val="left"/>
              <w:rPr>
                <w:rFonts w:asciiTheme="minorHAnsi" w:hAnsiTheme="minorHAnsi" w:cstheme="minorHAnsi"/>
                <w:sz w:val="18"/>
                <w:szCs w:val="18"/>
                <w:lang w:eastAsia="en-GB"/>
              </w:rPr>
            </w:pPr>
            <w:r w:rsidRPr="005C613E">
              <w:rPr>
                <w:rFonts w:asciiTheme="minorHAnsi" w:hAnsiTheme="minorHAnsi" w:cstheme="minorHAnsi"/>
                <w:sz w:val="18"/>
                <w:szCs w:val="18"/>
                <w:lang w:eastAsia="en-GB"/>
              </w:rPr>
              <w:t>Current Assets / Current liabilities</w:t>
            </w:r>
          </w:p>
        </w:tc>
        <w:tc>
          <w:tcPr>
            <w:tcW w:w="1286" w:type="dxa"/>
            <w:vAlign w:val="center"/>
          </w:tcPr>
          <w:p w14:paraId="05BC1450" w14:textId="22BBF751"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1.15</w:t>
            </w:r>
          </w:p>
        </w:tc>
        <w:tc>
          <w:tcPr>
            <w:tcW w:w="1287" w:type="dxa"/>
            <w:vAlign w:val="center"/>
          </w:tcPr>
          <w:p w14:paraId="1B63FA3C" w14:textId="2C134E09"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0.89</w:t>
            </w:r>
          </w:p>
        </w:tc>
        <w:tc>
          <w:tcPr>
            <w:tcW w:w="1287" w:type="dxa"/>
            <w:shd w:val="clear" w:color="auto" w:fill="auto"/>
            <w:noWrap/>
            <w:vAlign w:val="center"/>
          </w:tcPr>
          <w:p w14:paraId="658399F9" w14:textId="3A381BDD"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vAlign w:val="center"/>
          </w:tcPr>
          <w:p w14:paraId="5AACE8B9" w14:textId="1591BFDC"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04B6DEEB" w14:textId="0C0E779C"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r>
      <w:tr w:rsidR="00C11AA4" w:rsidRPr="005C613E" w14:paraId="39BA87C3" w14:textId="77777777" w:rsidTr="005C613E">
        <w:trPr>
          <w:jc w:val="center"/>
        </w:trPr>
        <w:tc>
          <w:tcPr>
            <w:tcW w:w="1839" w:type="dxa"/>
            <w:shd w:val="clear" w:color="000000" w:fill="FFFFFF"/>
            <w:noWrap/>
            <w:vAlign w:val="center"/>
          </w:tcPr>
          <w:p w14:paraId="72526967" w14:textId="77777777" w:rsidR="00C11AA4" w:rsidRPr="005C613E" w:rsidRDefault="00C11AA4" w:rsidP="00114F08">
            <w:pPr>
              <w:spacing w:before="60" w:after="60"/>
              <w:jc w:val="left"/>
              <w:rPr>
                <w:rFonts w:asciiTheme="minorHAnsi" w:hAnsiTheme="minorHAnsi" w:cstheme="minorHAnsi"/>
                <w:sz w:val="18"/>
                <w:szCs w:val="18"/>
                <w:lang w:eastAsia="en-GB"/>
              </w:rPr>
            </w:pPr>
            <w:r w:rsidRPr="005C613E">
              <w:rPr>
                <w:rFonts w:asciiTheme="minorHAnsi" w:hAnsiTheme="minorHAnsi" w:cstheme="minorHAnsi"/>
                <w:sz w:val="18"/>
                <w:szCs w:val="18"/>
                <w:lang w:eastAsia="en-GB"/>
              </w:rPr>
              <w:t>Quick Ratio</w:t>
            </w:r>
          </w:p>
        </w:tc>
        <w:tc>
          <w:tcPr>
            <w:tcW w:w="1286" w:type="dxa"/>
            <w:vAlign w:val="center"/>
          </w:tcPr>
          <w:p w14:paraId="5EA28DBA" w14:textId="05F89324"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0.24</w:t>
            </w:r>
          </w:p>
        </w:tc>
        <w:tc>
          <w:tcPr>
            <w:tcW w:w="1287" w:type="dxa"/>
            <w:vAlign w:val="center"/>
          </w:tcPr>
          <w:p w14:paraId="1D23F569" w14:textId="6573BCD7"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0.18</w:t>
            </w:r>
          </w:p>
        </w:tc>
        <w:tc>
          <w:tcPr>
            <w:tcW w:w="1287" w:type="dxa"/>
            <w:shd w:val="clear" w:color="auto" w:fill="auto"/>
            <w:noWrap/>
            <w:vAlign w:val="center"/>
          </w:tcPr>
          <w:p w14:paraId="078A72A6" w14:textId="137A14D8"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vAlign w:val="center"/>
          </w:tcPr>
          <w:p w14:paraId="72F54702" w14:textId="4D7E659B"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655CF1F1" w14:textId="75E97EA8"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r>
      <w:tr w:rsidR="00C11AA4" w:rsidRPr="005C613E" w14:paraId="637B66DA" w14:textId="77777777" w:rsidTr="005C613E">
        <w:trPr>
          <w:jc w:val="center"/>
        </w:trPr>
        <w:tc>
          <w:tcPr>
            <w:tcW w:w="1839" w:type="dxa"/>
            <w:shd w:val="clear" w:color="000000" w:fill="FFFFFF"/>
            <w:noWrap/>
            <w:vAlign w:val="center"/>
          </w:tcPr>
          <w:p w14:paraId="43F71C2E" w14:textId="77777777" w:rsidR="00C11AA4" w:rsidRPr="005C613E" w:rsidRDefault="00C11AA4" w:rsidP="00114F08">
            <w:pPr>
              <w:spacing w:before="60" w:after="60"/>
              <w:jc w:val="left"/>
              <w:rPr>
                <w:rFonts w:asciiTheme="minorHAnsi" w:hAnsiTheme="minorHAnsi" w:cstheme="minorHAnsi"/>
                <w:sz w:val="18"/>
                <w:szCs w:val="18"/>
                <w:lang w:eastAsia="en-GB"/>
              </w:rPr>
            </w:pPr>
            <w:r w:rsidRPr="005C613E">
              <w:rPr>
                <w:rFonts w:asciiTheme="minorHAnsi" w:hAnsiTheme="minorHAnsi" w:cstheme="minorHAnsi"/>
                <w:sz w:val="18"/>
                <w:szCs w:val="18"/>
                <w:lang w:eastAsia="en-GB"/>
              </w:rPr>
              <w:t>Accounts Receivable Days</w:t>
            </w:r>
          </w:p>
        </w:tc>
        <w:tc>
          <w:tcPr>
            <w:tcW w:w="1286" w:type="dxa"/>
            <w:vAlign w:val="center"/>
          </w:tcPr>
          <w:p w14:paraId="7A00F077" w14:textId="0B2AE2C9"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51</w:t>
            </w:r>
          </w:p>
        </w:tc>
        <w:tc>
          <w:tcPr>
            <w:tcW w:w="1287" w:type="dxa"/>
            <w:vAlign w:val="center"/>
          </w:tcPr>
          <w:p w14:paraId="11160AAE" w14:textId="5FC17CEB"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40</w:t>
            </w:r>
          </w:p>
        </w:tc>
        <w:tc>
          <w:tcPr>
            <w:tcW w:w="1287" w:type="dxa"/>
            <w:shd w:val="clear" w:color="auto" w:fill="auto"/>
            <w:noWrap/>
            <w:vAlign w:val="center"/>
          </w:tcPr>
          <w:p w14:paraId="15A47C05" w14:textId="6C8D73B4"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vAlign w:val="center"/>
          </w:tcPr>
          <w:p w14:paraId="35E2FE86" w14:textId="099CAB64"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6236983E" w14:textId="20B6B476"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r>
      <w:tr w:rsidR="00C11AA4" w:rsidRPr="005C613E" w14:paraId="059792D3" w14:textId="77777777" w:rsidTr="005C613E">
        <w:trPr>
          <w:jc w:val="center"/>
        </w:trPr>
        <w:tc>
          <w:tcPr>
            <w:tcW w:w="1839" w:type="dxa"/>
            <w:shd w:val="clear" w:color="000000" w:fill="FFFFFF"/>
            <w:noWrap/>
            <w:vAlign w:val="center"/>
          </w:tcPr>
          <w:p w14:paraId="10259B5B" w14:textId="77777777" w:rsidR="00C11AA4" w:rsidRPr="005C613E" w:rsidRDefault="00C11AA4" w:rsidP="00114F08">
            <w:pPr>
              <w:spacing w:before="60" w:after="60"/>
              <w:jc w:val="left"/>
              <w:rPr>
                <w:rFonts w:asciiTheme="minorHAnsi" w:hAnsiTheme="minorHAnsi" w:cstheme="minorHAnsi"/>
                <w:sz w:val="18"/>
                <w:szCs w:val="18"/>
                <w:lang w:eastAsia="en-GB"/>
              </w:rPr>
            </w:pPr>
            <w:r w:rsidRPr="005C613E">
              <w:rPr>
                <w:rFonts w:asciiTheme="minorHAnsi" w:hAnsiTheme="minorHAnsi" w:cstheme="minorHAnsi"/>
                <w:sz w:val="18"/>
                <w:szCs w:val="18"/>
                <w:lang w:eastAsia="en-GB"/>
              </w:rPr>
              <w:t>Assets Turnover</w:t>
            </w:r>
          </w:p>
        </w:tc>
        <w:tc>
          <w:tcPr>
            <w:tcW w:w="1286" w:type="dxa"/>
            <w:vAlign w:val="center"/>
          </w:tcPr>
          <w:p w14:paraId="0DC5A397" w14:textId="12BFCABA"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0.34</w:t>
            </w:r>
          </w:p>
        </w:tc>
        <w:tc>
          <w:tcPr>
            <w:tcW w:w="1287" w:type="dxa"/>
            <w:vAlign w:val="center"/>
          </w:tcPr>
          <w:p w14:paraId="72218DCD" w14:textId="559B488A"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0.37</w:t>
            </w:r>
          </w:p>
        </w:tc>
        <w:tc>
          <w:tcPr>
            <w:tcW w:w="1287" w:type="dxa"/>
            <w:shd w:val="clear" w:color="auto" w:fill="auto"/>
            <w:noWrap/>
            <w:vAlign w:val="center"/>
          </w:tcPr>
          <w:p w14:paraId="0C49E949" w14:textId="5A67DD7D"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vAlign w:val="center"/>
          </w:tcPr>
          <w:p w14:paraId="3F2ACF80" w14:textId="5DA8ED29"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0A875A15" w14:textId="48B713A4"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r>
      <w:tr w:rsidR="00C11AA4" w:rsidRPr="005C613E" w14:paraId="2705DDCB" w14:textId="77777777" w:rsidTr="005C613E">
        <w:trPr>
          <w:jc w:val="center"/>
        </w:trPr>
        <w:tc>
          <w:tcPr>
            <w:tcW w:w="1839" w:type="dxa"/>
            <w:shd w:val="clear" w:color="000000" w:fill="FFFFFF"/>
            <w:noWrap/>
            <w:vAlign w:val="center"/>
            <w:hideMark/>
          </w:tcPr>
          <w:p w14:paraId="22E86F29" w14:textId="77777777" w:rsidR="00C11AA4" w:rsidRPr="005C613E" w:rsidRDefault="00C11AA4" w:rsidP="00114F08">
            <w:pPr>
              <w:spacing w:before="60" w:after="60"/>
              <w:jc w:val="left"/>
              <w:rPr>
                <w:rFonts w:asciiTheme="minorHAnsi" w:hAnsiTheme="minorHAnsi" w:cstheme="minorHAnsi"/>
                <w:sz w:val="18"/>
                <w:szCs w:val="18"/>
                <w:lang w:eastAsia="en-GB"/>
              </w:rPr>
            </w:pPr>
            <w:r w:rsidRPr="005C613E">
              <w:rPr>
                <w:rFonts w:asciiTheme="minorHAnsi" w:hAnsiTheme="minorHAnsi" w:cstheme="minorHAnsi"/>
                <w:sz w:val="18"/>
                <w:szCs w:val="18"/>
                <w:lang w:eastAsia="en-GB"/>
              </w:rPr>
              <w:t>Debt / Equity Ratio</w:t>
            </w:r>
          </w:p>
        </w:tc>
        <w:tc>
          <w:tcPr>
            <w:tcW w:w="1286" w:type="dxa"/>
            <w:vAlign w:val="center"/>
          </w:tcPr>
          <w:p w14:paraId="49FD4ED0" w14:textId="27503AC9"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0.36</w:t>
            </w:r>
          </w:p>
        </w:tc>
        <w:tc>
          <w:tcPr>
            <w:tcW w:w="1287" w:type="dxa"/>
            <w:vAlign w:val="center"/>
          </w:tcPr>
          <w:p w14:paraId="15C55004" w14:textId="659921FD"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r w:rsidRPr="005C613E">
              <w:rPr>
                <w:rFonts w:asciiTheme="minorHAnsi" w:hAnsiTheme="minorHAnsi" w:cstheme="minorHAnsi"/>
                <w:color w:val="000000" w:themeColor="text1"/>
                <w:sz w:val="18"/>
                <w:szCs w:val="18"/>
                <w:lang w:eastAsia="en-GB"/>
              </w:rPr>
              <w:t>0.34</w:t>
            </w:r>
          </w:p>
        </w:tc>
        <w:tc>
          <w:tcPr>
            <w:tcW w:w="1287" w:type="dxa"/>
            <w:shd w:val="clear" w:color="auto" w:fill="auto"/>
            <w:noWrap/>
            <w:vAlign w:val="center"/>
          </w:tcPr>
          <w:p w14:paraId="4D9B63BF" w14:textId="349F1530"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vAlign w:val="center"/>
          </w:tcPr>
          <w:p w14:paraId="58C44827" w14:textId="55FC9D5D"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5D4E7C5D" w14:textId="212CB91F" w:rsidR="00C11AA4" w:rsidRPr="005C613E" w:rsidRDefault="00C11AA4" w:rsidP="00114F08">
            <w:pPr>
              <w:spacing w:before="60" w:after="60"/>
              <w:jc w:val="right"/>
              <w:rPr>
                <w:rFonts w:asciiTheme="minorHAnsi" w:hAnsiTheme="minorHAnsi" w:cstheme="minorHAnsi"/>
                <w:color w:val="000000" w:themeColor="text1"/>
                <w:sz w:val="18"/>
                <w:szCs w:val="18"/>
                <w:lang w:eastAsia="en-GB"/>
              </w:rPr>
            </w:pPr>
          </w:p>
        </w:tc>
      </w:tr>
    </w:tbl>
    <w:p w14:paraId="271A7EB4" w14:textId="77777777" w:rsidR="00737CE6" w:rsidRDefault="00737CE6" w:rsidP="00737CE6">
      <w:pPr>
        <w:rPr>
          <w:rFonts w:asciiTheme="minorHAnsi" w:hAnsiTheme="minorHAnsi"/>
        </w:rPr>
      </w:pPr>
      <w:r w:rsidRPr="00D25BE7">
        <w:rPr>
          <w:rFonts w:asciiTheme="minorHAnsi" w:hAnsiTheme="minorHAnsi"/>
        </w:rPr>
        <w:t xml:space="preserve"> </w:t>
      </w:r>
    </w:p>
    <w:p w14:paraId="5EB1C50F" w14:textId="77777777" w:rsidR="00B00D50" w:rsidRPr="00D25BE7" w:rsidRDefault="00B00D50" w:rsidP="00737CE6">
      <w:pPr>
        <w:rPr>
          <w:rFonts w:asciiTheme="minorHAnsi" w:hAnsiTheme="minorHAnsi"/>
          <w:color w:val="000000" w:themeColor="text1"/>
          <w:lang w:val="en-GB"/>
        </w:rPr>
      </w:pPr>
    </w:p>
    <w:p w14:paraId="17A24DA2" w14:textId="284F973C" w:rsidR="006D3D6C" w:rsidRPr="00D25BE7" w:rsidRDefault="00B03AB2" w:rsidP="006D3D6C">
      <w:pPr>
        <w:pStyle w:val="ListParagraph"/>
        <w:ind w:left="567" w:hanging="567"/>
        <w:rPr>
          <w:rFonts w:asciiTheme="minorHAnsi" w:hAnsiTheme="minorHAnsi"/>
          <w:lang w:val="en-GB"/>
        </w:rPr>
      </w:pPr>
      <w:r w:rsidRPr="001747A7">
        <w:rPr>
          <w:rFonts w:asciiTheme="minorHAnsi" w:hAnsiTheme="minorHAnsi"/>
          <w:b/>
          <w:sz w:val="24"/>
          <w:szCs w:val="24"/>
          <w:lang w:val="en-GB"/>
        </w:rPr>
        <w:t>Ok Bazaars</w:t>
      </w:r>
      <w:r w:rsidR="006D3D6C" w:rsidRPr="001747A7">
        <w:rPr>
          <w:rFonts w:asciiTheme="minorHAnsi" w:hAnsiTheme="minorHAnsi"/>
          <w:b/>
          <w:sz w:val="24"/>
          <w:szCs w:val="24"/>
          <w:lang w:val="en-GB"/>
        </w:rPr>
        <w:t xml:space="preserve"> (Pty) Ltd</w:t>
      </w:r>
      <w:r w:rsidR="006D3D6C" w:rsidRPr="001747A7">
        <w:rPr>
          <w:rFonts w:asciiTheme="minorHAnsi" w:hAnsiTheme="minorHAnsi"/>
          <w:b/>
          <w:lang w:val="en-GB"/>
        </w:rPr>
        <w:t>:</w:t>
      </w:r>
      <w:r w:rsidR="006D3D6C" w:rsidRPr="00D25BE7">
        <w:rPr>
          <w:rFonts w:asciiTheme="minorHAnsi" w:hAnsiTheme="minorHAnsi"/>
          <w:lang w:val="en-GB"/>
        </w:rPr>
        <w:t xml:space="preserve"> </w:t>
      </w:r>
      <w:r w:rsidRPr="00D25BE7">
        <w:rPr>
          <w:rFonts w:asciiTheme="minorHAnsi" w:hAnsiTheme="minorHAnsi"/>
          <w:lang w:val="en-GB"/>
        </w:rPr>
        <w:t>Ok Bazaars</w:t>
      </w:r>
      <w:r w:rsidR="006D3D6C" w:rsidRPr="00D25BE7">
        <w:rPr>
          <w:rFonts w:asciiTheme="minorHAnsi" w:hAnsiTheme="minorHAnsi"/>
          <w:lang w:val="en-GB"/>
        </w:rPr>
        <w:t xml:space="preserve"> is controlled by Government through LNDC </w:t>
      </w:r>
      <w:r w:rsidRPr="00D25BE7">
        <w:rPr>
          <w:rFonts w:asciiTheme="minorHAnsi" w:hAnsiTheme="minorHAnsi"/>
          <w:lang w:val="en-GB"/>
        </w:rPr>
        <w:t xml:space="preserve">holding 50% along with ShopRite </w:t>
      </w:r>
      <w:r w:rsidR="0036478B" w:rsidRPr="00D25BE7">
        <w:rPr>
          <w:rFonts w:asciiTheme="minorHAnsi" w:hAnsiTheme="minorHAnsi"/>
          <w:lang w:val="en-GB"/>
        </w:rPr>
        <w:t xml:space="preserve">Checkers Pty Ltd </w:t>
      </w:r>
      <w:r w:rsidRPr="00D25BE7">
        <w:rPr>
          <w:rFonts w:asciiTheme="minorHAnsi" w:hAnsiTheme="minorHAnsi"/>
          <w:lang w:val="en-GB"/>
        </w:rPr>
        <w:t xml:space="preserve">as an equal, 50% shareholder. </w:t>
      </w:r>
      <w:r w:rsidR="006D3D6C" w:rsidRPr="00D25BE7">
        <w:rPr>
          <w:rFonts w:asciiTheme="minorHAnsi" w:hAnsiTheme="minorHAnsi"/>
          <w:lang w:val="en-GB"/>
        </w:rPr>
        <w:t xml:space="preserve"> </w:t>
      </w:r>
      <w:r w:rsidR="009A38F8">
        <w:rPr>
          <w:rFonts w:asciiTheme="minorHAnsi" w:hAnsiTheme="minorHAnsi"/>
          <w:lang w:val="en-GB"/>
        </w:rPr>
        <w:t xml:space="preserve">As neither company holds a majority share </w:t>
      </w:r>
      <w:r w:rsidR="00DF496E">
        <w:rPr>
          <w:rFonts w:asciiTheme="minorHAnsi" w:hAnsiTheme="minorHAnsi"/>
          <w:lang w:val="en-GB"/>
        </w:rPr>
        <w:t xml:space="preserve">the company’s results are </w:t>
      </w:r>
      <w:r w:rsidR="009A38F8">
        <w:rPr>
          <w:rFonts w:asciiTheme="minorHAnsi" w:hAnsiTheme="minorHAnsi"/>
          <w:lang w:val="en-GB"/>
        </w:rPr>
        <w:t xml:space="preserve">not consolidated in either LNDC’s or Shoprite’s accounts. </w:t>
      </w:r>
    </w:p>
    <w:p w14:paraId="54F3B3AD" w14:textId="7FB66401" w:rsidR="006D3D6C" w:rsidRPr="00D25BE7" w:rsidRDefault="00D65780" w:rsidP="006D3D6C">
      <w:pPr>
        <w:pStyle w:val="ListParagraph"/>
        <w:ind w:left="426" w:hanging="426"/>
        <w:rPr>
          <w:rFonts w:asciiTheme="minorHAnsi" w:hAnsiTheme="minorHAnsi"/>
          <w:color w:val="000000" w:themeColor="text1"/>
          <w:szCs w:val="22"/>
          <w:lang w:val="en-GB"/>
        </w:rPr>
      </w:pPr>
      <w:r>
        <w:rPr>
          <w:rFonts w:asciiTheme="minorHAnsi" w:hAnsiTheme="minorHAnsi"/>
          <w:lang w:val="en-GB"/>
        </w:rPr>
        <w:t>The</w:t>
      </w:r>
      <w:r w:rsidR="00F533E8" w:rsidRPr="00D25BE7">
        <w:rPr>
          <w:rFonts w:asciiTheme="minorHAnsi" w:hAnsiTheme="minorHAnsi"/>
          <w:lang w:val="en-GB"/>
        </w:rPr>
        <w:t xml:space="preserve"> business is commercial retail of grocery and housewares and it is difficult to see the continuous value in LNDC as a major owner. LNDC mandate is </w:t>
      </w:r>
      <w:r>
        <w:rPr>
          <w:rFonts w:asciiTheme="minorHAnsi" w:hAnsiTheme="minorHAnsi"/>
          <w:lang w:val="en-GB"/>
        </w:rPr>
        <w:t xml:space="preserve">the </w:t>
      </w:r>
      <w:r w:rsidR="00F533E8" w:rsidRPr="00D25BE7">
        <w:rPr>
          <w:rFonts w:asciiTheme="minorHAnsi" w:hAnsiTheme="minorHAnsi"/>
          <w:lang w:val="en-GB"/>
        </w:rPr>
        <w:t>support and promotion of investment</w:t>
      </w:r>
      <w:r w:rsidR="00D502D5" w:rsidRPr="00D25BE7">
        <w:rPr>
          <w:rFonts w:asciiTheme="minorHAnsi" w:hAnsiTheme="minorHAnsi"/>
          <w:lang w:val="en-GB"/>
        </w:rPr>
        <w:t xml:space="preserve"> opportunities</w:t>
      </w:r>
      <w:r w:rsidR="00F533E8" w:rsidRPr="00D25BE7">
        <w:rPr>
          <w:rFonts w:asciiTheme="minorHAnsi" w:hAnsiTheme="minorHAnsi"/>
          <w:lang w:val="en-GB"/>
        </w:rPr>
        <w:t xml:space="preserve"> but it does not need </w:t>
      </w:r>
      <w:r>
        <w:rPr>
          <w:rFonts w:asciiTheme="minorHAnsi" w:hAnsiTheme="minorHAnsi"/>
          <w:lang w:val="en-GB"/>
        </w:rPr>
        <w:t>long</w:t>
      </w:r>
      <w:r w:rsidR="001747A7">
        <w:rPr>
          <w:rFonts w:asciiTheme="minorHAnsi" w:hAnsiTheme="minorHAnsi"/>
          <w:lang w:val="en-GB"/>
        </w:rPr>
        <w:t>-</w:t>
      </w:r>
      <w:r>
        <w:rPr>
          <w:rFonts w:asciiTheme="minorHAnsi" w:hAnsiTheme="minorHAnsi"/>
          <w:lang w:val="en-GB"/>
        </w:rPr>
        <w:t xml:space="preserve">term </w:t>
      </w:r>
      <w:r w:rsidR="00F533E8" w:rsidRPr="00D25BE7">
        <w:rPr>
          <w:rFonts w:asciiTheme="minorHAnsi" w:hAnsiTheme="minorHAnsi"/>
          <w:lang w:val="en-GB"/>
        </w:rPr>
        <w:t>direct ownership</w:t>
      </w:r>
      <w:r>
        <w:rPr>
          <w:rFonts w:asciiTheme="minorHAnsi" w:hAnsiTheme="minorHAnsi"/>
          <w:lang w:val="en-GB"/>
        </w:rPr>
        <w:t xml:space="preserve"> of companies such as OK Bazaars</w:t>
      </w:r>
      <w:r w:rsidR="00F533E8" w:rsidRPr="00D25BE7">
        <w:rPr>
          <w:rFonts w:asciiTheme="minorHAnsi" w:hAnsiTheme="minorHAnsi"/>
          <w:lang w:val="en-GB"/>
        </w:rPr>
        <w:t xml:space="preserve">. </w:t>
      </w:r>
      <w:r w:rsidR="007A6F8D" w:rsidRPr="00D25BE7">
        <w:rPr>
          <w:rFonts w:asciiTheme="minorHAnsi" w:hAnsiTheme="minorHAnsi"/>
          <w:lang w:val="en-GB"/>
        </w:rPr>
        <w:t xml:space="preserve">There is no evidence of LNDC </w:t>
      </w:r>
      <w:r>
        <w:rPr>
          <w:rFonts w:asciiTheme="minorHAnsi" w:hAnsiTheme="minorHAnsi"/>
          <w:lang w:val="en-GB"/>
        </w:rPr>
        <w:t xml:space="preserve">providing </w:t>
      </w:r>
      <w:r w:rsidR="007A6F8D" w:rsidRPr="00D25BE7">
        <w:rPr>
          <w:rFonts w:asciiTheme="minorHAnsi" w:hAnsiTheme="minorHAnsi"/>
          <w:lang w:val="en-GB"/>
        </w:rPr>
        <w:t>direct add</w:t>
      </w:r>
      <w:r>
        <w:rPr>
          <w:rFonts w:asciiTheme="minorHAnsi" w:hAnsiTheme="minorHAnsi"/>
          <w:lang w:val="en-GB"/>
        </w:rPr>
        <w:t>ed value</w:t>
      </w:r>
      <w:r w:rsidR="007A6F8D" w:rsidRPr="00D25BE7">
        <w:rPr>
          <w:rFonts w:asciiTheme="minorHAnsi" w:hAnsiTheme="minorHAnsi"/>
          <w:lang w:val="en-GB"/>
        </w:rPr>
        <w:t xml:space="preserve"> to the business. </w:t>
      </w:r>
      <w:r w:rsidR="00F533E8" w:rsidRPr="00D25BE7">
        <w:rPr>
          <w:rFonts w:asciiTheme="minorHAnsi" w:hAnsiTheme="minorHAnsi"/>
          <w:lang w:val="en-GB"/>
        </w:rPr>
        <w:t xml:space="preserve">A restructured and more focused LNDC should reduce the dependency on dividend streams from </w:t>
      </w:r>
      <w:r w:rsidR="00F533E8" w:rsidRPr="00D25BE7">
        <w:rPr>
          <w:rFonts w:asciiTheme="minorHAnsi" w:hAnsiTheme="minorHAnsi"/>
          <w:lang w:val="en-GB"/>
        </w:rPr>
        <w:lastRenderedPageBreak/>
        <w:t xml:space="preserve">enterprises such as Ok Bazaars, and a good case could be made, while business performance is strong to divest and acquire a good price for the shares. </w:t>
      </w:r>
    </w:p>
    <w:p w14:paraId="2440D10F" w14:textId="5FD0546A" w:rsidR="006D3D6C" w:rsidRPr="0023147B" w:rsidRDefault="006D3D6C" w:rsidP="006D3D6C">
      <w:pPr>
        <w:ind w:firstLine="426"/>
        <w:rPr>
          <w:rFonts w:asciiTheme="minorHAnsi" w:hAnsiTheme="minorHAnsi"/>
          <w:b/>
          <w:sz w:val="20"/>
          <w:lang w:val="en-GB"/>
        </w:rPr>
      </w:pPr>
      <w:r w:rsidRPr="0023147B">
        <w:rPr>
          <w:rFonts w:asciiTheme="minorHAnsi" w:hAnsiTheme="minorHAnsi"/>
          <w:b/>
          <w:sz w:val="20"/>
          <w:lang w:val="en-GB"/>
        </w:rPr>
        <w:t xml:space="preserve">Figure </w:t>
      </w:r>
      <w:r w:rsidR="0039061F">
        <w:rPr>
          <w:rFonts w:asciiTheme="minorHAnsi" w:hAnsiTheme="minorHAnsi"/>
          <w:b/>
          <w:sz w:val="20"/>
          <w:lang w:val="en-GB"/>
        </w:rPr>
        <w:t>21</w:t>
      </w:r>
      <w:r w:rsidRPr="0023147B">
        <w:rPr>
          <w:rFonts w:asciiTheme="minorHAnsi" w:hAnsiTheme="minorHAnsi"/>
          <w:b/>
          <w:sz w:val="20"/>
          <w:lang w:val="en-GB"/>
        </w:rPr>
        <w:t>:</w:t>
      </w:r>
      <w:r w:rsidR="00293A4A">
        <w:rPr>
          <w:rFonts w:asciiTheme="minorHAnsi" w:hAnsiTheme="minorHAnsi"/>
          <w:b/>
          <w:sz w:val="20"/>
          <w:lang w:val="en-GB"/>
        </w:rPr>
        <w:t xml:space="preserve"> </w:t>
      </w:r>
      <w:r w:rsidR="0039061F">
        <w:rPr>
          <w:rFonts w:asciiTheme="minorHAnsi" w:hAnsiTheme="minorHAnsi"/>
          <w:b/>
          <w:sz w:val="20"/>
          <w:lang w:val="en-GB"/>
        </w:rPr>
        <w:t>OK Bazaars Returns 2014/15 to 2017/18</w:t>
      </w:r>
    </w:p>
    <w:p w14:paraId="3706193D" w14:textId="77777777" w:rsidR="00293A4A" w:rsidRDefault="00293A4A" w:rsidP="006D3D6C">
      <w:pPr>
        <w:ind w:left="426"/>
        <w:rPr>
          <w:rFonts w:asciiTheme="minorHAnsi" w:hAnsiTheme="minorHAnsi"/>
          <w:color w:val="000000" w:themeColor="text1"/>
          <w:szCs w:val="22"/>
          <w:lang w:val="en-GB"/>
        </w:rPr>
      </w:pPr>
    </w:p>
    <w:p w14:paraId="65A104CA" w14:textId="3759ADC0" w:rsidR="006D3D6C" w:rsidRDefault="00AA3485" w:rsidP="006D3D6C">
      <w:pPr>
        <w:ind w:left="426"/>
        <w:rPr>
          <w:rFonts w:asciiTheme="minorHAnsi" w:hAnsiTheme="minorHAnsi"/>
          <w:color w:val="000000" w:themeColor="text1"/>
          <w:szCs w:val="22"/>
          <w:lang w:val="en-GB"/>
        </w:rPr>
      </w:pPr>
      <w:r>
        <w:rPr>
          <w:noProof/>
        </w:rPr>
        <w:drawing>
          <wp:inline distT="0" distB="0" distL="0" distR="0" wp14:anchorId="066B6EC7" wp14:editId="2B10C9C3">
            <wp:extent cx="4388485" cy="2598420"/>
            <wp:effectExtent l="25400" t="25400" r="107315" b="939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0D982E8" w14:textId="539CBF1D" w:rsidR="001747A7" w:rsidRPr="00D8583C" w:rsidRDefault="001747A7" w:rsidP="001747A7">
      <w:pPr>
        <w:ind w:firstLine="426"/>
        <w:rPr>
          <w:rFonts w:asciiTheme="minorHAnsi" w:eastAsia="CenturyGothic" w:hAnsiTheme="minorHAnsi" w:cs="Arial"/>
          <w:i/>
          <w:szCs w:val="22"/>
        </w:rPr>
      </w:pPr>
      <w:r>
        <w:rPr>
          <w:rFonts w:asciiTheme="minorHAnsi" w:hAnsiTheme="minorHAnsi" w:cs="Arial"/>
          <w:bCs/>
          <w:i/>
          <w:color w:val="000000"/>
          <w:sz w:val="20"/>
        </w:rPr>
        <w:t>Source: OK Bazaars</w:t>
      </w:r>
      <w:r w:rsidRPr="00D8583C">
        <w:rPr>
          <w:rFonts w:asciiTheme="minorHAnsi" w:hAnsiTheme="minorHAnsi" w:cs="Arial"/>
          <w:bCs/>
          <w:i/>
          <w:color w:val="000000"/>
          <w:sz w:val="20"/>
        </w:rPr>
        <w:t xml:space="preserve"> AFS Various Years</w:t>
      </w:r>
    </w:p>
    <w:p w14:paraId="00030A50" w14:textId="77777777" w:rsidR="00293A4A" w:rsidRDefault="00293A4A" w:rsidP="006D3D6C">
      <w:pPr>
        <w:ind w:left="426"/>
        <w:rPr>
          <w:rFonts w:asciiTheme="minorHAnsi" w:hAnsiTheme="minorHAnsi"/>
          <w:color w:val="000000" w:themeColor="text1"/>
          <w:szCs w:val="22"/>
          <w:lang w:val="en-GB"/>
        </w:rPr>
      </w:pPr>
    </w:p>
    <w:p w14:paraId="550A8D3F" w14:textId="77777777" w:rsidR="001747A7" w:rsidRPr="00D25BE7" w:rsidRDefault="001747A7" w:rsidP="006D3D6C">
      <w:pPr>
        <w:ind w:left="426"/>
        <w:rPr>
          <w:rFonts w:asciiTheme="minorHAnsi" w:hAnsiTheme="minorHAnsi"/>
          <w:color w:val="000000" w:themeColor="text1"/>
          <w:szCs w:val="22"/>
          <w:lang w:val="en-GB"/>
        </w:rPr>
      </w:pPr>
    </w:p>
    <w:p w14:paraId="30A6860C" w14:textId="77777777" w:rsidR="00293A4A" w:rsidRPr="00D25BE7" w:rsidRDefault="00293A4A" w:rsidP="00293A4A">
      <w:pPr>
        <w:pStyle w:val="ListParagraph"/>
        <w:ind w:left="426" w:hanging="426"/>
        <w:rPr>
          <w:rFonts w:asciiTheme="minorHAnsi" w:hAnsiTheme="minorHAnsi"/>
          <w:color w:val="000000" w:themeColor="text1"/>
          <w:szCs w:val="22"/>
          <w:lang w:val="en-GB"/>
        </w:rPr>
      </w:pPr>
      <w:r w:rsidRPr="00D25BE7">
        <w:rPr>
          <w:rFonts w:asciiTheme="minorHAnsi" w:hAnsiTheme="minorHAnsi"/>
          <w:lang w:val="en-GB"/>
        </w:rPr>
        <w:t xml:space="preserve">The performance trend for Ok Bazaar is quite satisfactory. Profitability and performance are good to strong in recent years and a dividend at quite a high proportion of profits is being distributed. In addition, the business appears to be debt free and without liquidity stress. </w:t>
      </w:r>
    </w:p>
    <w:p w14:paraId="6D419924" w14:textId="77777777" w:rsidR="006D3D6C" w:rsidRPr="00D25BE7" w:rsidRDefault="006D3D6C" w:rsidP="006D3D6C">
      <w:pPr>
        <w:rPr>
          <w:rFonts w:asciiTheme="minorHAnsi" w:hAnsiTheme="minorHAnsi"/>
          <w:color w:val="000000" w:themeColor="text1"/>
          <w:szCs w:val="22"/>
          <w:lang w:val="en-GB"/>
        </w:rPr>
      </w:pPr>
    </w:p>
    <w:p w14:paraId="089CD92A" w14:textId="136FB88C" w:rsidR="006D3D6C" w:rsidRPr="00D25BE7" w:rsidRDefault="006D3D6C" w:rsidP="006D3D6C">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Relevant performance data for FY’1</w:t>
      </w:r>
      <w:r w:rsidR="00E335A4">
        <w:rPr>
          <w:rFonts w:asciiTheme="minorHAnsi" w:hAnsiTheme="minorHAnsi"/>
          <w:color w:val="000000" w:themeColor="text1"/>
          <w:lang w:val="en-GB"/>
        </w:rPr>
        <w:t>8</w:t>
      </w:r>
      <w:r w:rsidRPr="00D25BE7">
        <w:rPr>
          <w:rFonts w:asciiTheme="minorHAnsi" w:hAnsiTheme="minorHAnsi"/>
          <w:color w:val="000000" w:themeColor="text1"/>
          <w:lang w:val="en-GB"/>
        </w:rPr>
        <w:t xml:space="preserve"> is:</w:t>
      </w:r>
    </w:p>
    <w:p w14:paraId="0443E712" w14:textId="5643449E" w:rsidR="006D3D6C" w:rsidRPr="0023147B" w:rsidRDefault="006D3D6C" w:rsidP="006D3D6C">
      <w:pPr>
        <w:rPr>
          <w:rFonts w:asciiTheme="minorHAnsi" w:hAnsiTheme="minorHAnsi"/>
          <w:b/>
          <w:sz w:val="20"/>
          <w:lang w:val="en-GB"/>
        </w:rPr>
      </w:pPr>
      <w:r w:rsidRPr="00243C32">
        <w:rPr>
          <w:rFonts w:asciiTheme="minorHAnsi" w:hAnsiTheme="minorHAnsi"/>
          <w:b/>
          <w:sz w:val="20"/>
          <w:lang w:val="en-GB"/>
        </w:rPr>
        <w:t xml:space="preserve">Table </w:t>
      </w:r>
      <w:r w:rsidR="00DF496E" w:rsidRPr="00243C32">
        <w:rPr>
          <w:rFonts w:asciiTheme="minorHAnsi" w:hAnsiTheme="minorHAnsi"/>
          <w:b/>
          <w:sz w:val="20"/>
          <w:lang w:val="en-GB"/>
        </w:rPr>
        <w:t>18</w:t>
      </w:r>
      <w:r w:rsidRPr="00243C32">
        <w:rPr>
          <w:rFonts w:asciiTheme="minorHAnsi" w:hAnsiTheme="minorHAnsi"/>
          <w:b/>
          <w:sz w:val="20"/>
          <w:lang w:val="en-GB"/>
        </w:rPr>
        <w:t xml:space="preserve">: Performance Highlights – </w:t>
      </w:r>
      <w:r w:rsidR="002A55C6" w:rsidRPr="00243C32">
        <w:rPr>
          <w:rFonts w:asciiTheme="minorHAnsi" w:hAnsiTheme="minorHAnsi"/>
          <w:b/>
          <w:sz w:val="20"/>
          <w:lang w:val="en-GB"/>
        </w:rPr>
        <w:t>Ok Bazaars</w:t>
      </w:r>
    </w:p>
    <w:p w14:paraId="1C6FA0CA" w14:textId="77777777" w:rsidR="00E335A4" w:rsidRPr="00D25BE7" w:rsidRDefault="00E335A4" w:rsidP="006D3D6C">
      <w:pPr>
        <w:rPr>
          <w:rFonts w:asciiTheme="minorHAnsi" w:hAnsiTheme="minorHAnsi"/>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276"/>
        <w:gridCol w:w="1276"/>
        <w:gridCol w:w="1276"/>
        <w:gridCol w:w="1276"/>
        <w:gridCol w:w="1276"/>
      </w:tblGrid>
      <w:tr w:rsidR="005E6617" w:rsidRPr="005C613E" w14:paraId="0E111D75" w14:textId="77777777" w:rsidTr="006A4FFD">
        <w:trPr>
          <w:trHeight w:val="360"/>
          <w:tblHeader/>
          <w:jc w:val="center"/>
        </w:trPr>
        <w:tc>
          <w:tcPr>
            <w:tcW w:w="2126" w:type="dxa"/>
            <w:shd w:val="clear" w:color="auto" w:fill="D9D9D9" w:themeFill="background1" w:themeFillShade="D9"/>
            <w:noWrap/>
            <w:vAlign w:val="center"/>
            <w:hideMark/>
          </w:tcPr>
          <w:p w14:paraId="3C04439A" w14:textId="77777777" w:rsidR="005E6617" w:rsidRPr="006A4FFD" w:rsidRDefault="005E6617" w:rsidP="005A1DD4">
            <w:pPr>
              <w:ind w:firstLine="42"/>
              <w:rPr>
                <w:rFonts w:asciiTheme="minorHAnsi" w:hAnsiTheme="minorHAnsi"/>
                <w:sz w:val="18"/>
                <w:szCs w:val="18"/>
                <w:lang w:eastAsia="en-GB"/>
              </w:rPr>
            </w:pPr>
            <w:r w:rsidRPr="006A4FFD">
              <w:rPr>
                <w:rFonts w:asciiTheme="minorHAnsi" w:hAnsiTheme="minorHAnsi"/>
                <w:sz w:val="18"/>
                <w:szCs w:val="18"/>
                <w:lang w:eastAsia="en-GB"/>
              </w:rPr>
              <w:t>Performance Highlights (M '000)</w:t>
            </w:r>
          </w:p>
        </w:tc>
        <w:tc>
          <w:tcPr>
            <w:tcW w:w="1276" w:type="dxa"/>
            <w:shd w:val="clear" w:color="auto" w:fill="D9D9D9" w:themeFill="background1" w:themeFillShade="D9"/>
            <w:vAlign w:val="center"/>
          </w:tcPr>
          <w:p w14:paraId="0AA24F47" w14:textId="77777777" w:rsidR="005E6617" w:rsidRPr="006A4FFD" w:rsidRDefault="005E6617" w:rsidP="005A1DD4">
            <w:pPr>
              <w:jc w:val="center"/>
              <w:rPr>
                <w:rFonts w:asciiTheme="minorHAnsi" w:hAnsiTheme="minorHAnsi" w:cstheme="minorHAnsi"/>
                <w:b/>
                <w:bCs/>
                <w:color w:val="000000"/>
                <w:sz w:val="18"/>
                <w:szCs w:val="18"/>
                <w:lang w:eastAsia="en-GB"/>
              </w:rPr>
            </w:pPr>
            <w:r w:rsidRPr="006A4FFD">
              <w:rPr>
                <w:rFonts w:asciiTheme="minorHAnsi" w:hAnsiTheme="minorHAnsi" w:cstheme="minorHAnsi"/>
                <w:b/>
                <w:bCs/>
                <w:sz w:val="18"/>
                <w:szCs w:val="18"/>
                <w:lang w:eastAsia="en-GB"/>
              </w:rPr>
              <w:t>2014/15</w:t>
            </w:r>
          </w:p>
        </w:tc>
        <w:tc>
          <w:tcPr>
            <w:tcW w:w="1276" w:type="dxa"/>
            <w:shd w:val="clear" w:color="auto" w:fill="D9D9D9" w:themeFill="background1" w:themeFillShade="D9"/>
            <w:vAlign w:val="center"/>
          </w:tcPr>
          <w:p w14:paraId="0FC81297" w14:textId="77777777" w:rsidR="005E6617" w:rsidRPr="006A4FFD" w:rsidRDefault="005E6617" w:rsidP="005A1DD4">
            <w:pPr>
              <w:jc w:val="center"/>
              <w:rPr>
                <w:rFonts w:asciiTheme="minorHAnsi" w:hAnsiTheme="minorHAnsi" w:cstheme="minorHAnsi"/>
                <w:b/>
                <w:bCs/>
                <w:color w:val="000000"/>
                <w:sz w:val="18"/>
                <w:szCs w:val="18"/>
                <w:lang w:eastAsia="en-GB"/>
              </w:rPr>
            </w:pPr>
            <w:r w:rsidRPr="006A4FFD">
              <w:rPr>
                <w:rFonts w:asciiTheme="minorHAnsi" w:hAnsiTheme="minorHAnsi" w:cstheme="minorHAnsi"/>
                <w:b/>
                <w:bCs/>
                <w:sz w:val="18"/>
                <w:szCs w:val="18"/>
                <w:lang w:eastAsia="en-GB"/>
              </w:rPr>
              <w:t>2015/16</w:t>
            </w:r>
          </w:p>
        </w:tc>
        <w:tc>
          <w:tcPr>
            <w:tcW w:w="1276" w:type="dxa"/>
            <w:shd w:val="clear" w:color="auto" w:fill="D9D9D9" w:themeFill="background1" w:themeFillShade="D9"/>
            <w:vAlign w:val="center"/>
            <w:hideMark/>
          </w:tcPr>
          <w:p w14:paraId="097DDC63" w14:textId="77777777" w:rsidR="005E6617" w:rsidRPr="006A4FFD" w:rsidRDefault="005E6617" w:rsidP="005A1DD4">
            <w:pPr>
              <w:jc w:val="center"/>
              <w:rPr>
                <w:rFonts w:asciiTheme="minorHAnsi" w:hAnsiTheme="minorHAnsi" w:cstheme="minorHAnsi"/>
                <w:b/>
                <w:bCs/>
                <w:sz w:val="18"/>
                <w:szCs w:val="18"/>
                <w:lang w:eastAsia="en-GB"/>
              </w:rPr>
            </w:pPr>
            <w:r w:rsidRPr="006A4FFD">
              <w:rPr>
                <w:rFonts w:asciiTheme="minorHAnsi" w:hAnsiTheme="minorHAnsi" w:cstheme="minorHAnsi"/>
                <w:b/>
                <w:bCs/>
                <w:sz w:val="18"/>
                <w:szCs w:val="18"/>
                <w:lang w:eastAsia="en-GB"/>
              </w:rPr>
              <w:t>2016/17</w:t>
            </w:r>
          </w:p>
        </w:tc>
        <w:tc>
          <w:tcPr>
            <w:tcW w:w="1276" w:type="dxa"/>
            <w:shd w:val="clear" w:color="auto" w:fill="D9D9D9" w:themeFill="background1" w:themeFillShade="D9"/>
            <w:vAlign w:val="center"/>
          </w:tcPr>
          <w:p w14:paraId="3AB6E792" w14:textId="6E952ECF" w:rsidR="005E6617" w:rsidRPr="006A4FFD" w:rsidRDefault="005E6617" w:rsidP="005A1DD4">
            <w:pPr>
              <w:jc w:val="center"/>
              <w:rPr>
                <w:rFonts w:asciiTheme="minorHAnsi" w:hAnsiTheme="minorHAnsi" w:cstheme="minorHAnsi"/>
                <w:b/>
                <w:bCs/>
                <w:color w:val="000000"/>
                <w:sz w:val="18"/>
                <w:szCs w:val="18"/>
                <w:lang w:eastAsia="en-GB"/>
              </w:rPr>
            </w:pPr>
            <w:r w:rsidRPr="006A4FFD">
              <w:rPr>
                <w:rFonts w:asciiTheme="minorHAnsi" w:hAnsiTheme="minorHAnsi" w:cstheme="minorHAnsi"/>
                <w:b/>
                <w:bCs/>
                <w:sz w:val="18"/>
                <w:szCs w:val="18"/>
                <w:lang w:eastAsia="en-GB"/>
              </w:rPr>
              <w:t>2017/18</w:t>
            </w:r>
          </w:p>
        </w:tc>
        <w:tc>
          <w:tcPr>
            <w:tcW w:w="1276" w:type="dxa"/>
            <w:shd w:val="clear" w:color="auto" w:fill="D9D9D9" w:themeFill="background1" w:themeFillShade="D9"/>
            <w:noWrap/>
            <w:vAlign w:val="center"/>
            <w:hideMark/>
          </w:tcPr>
          <w:p w14:paraId="3C7C77EA" w14:textId="5080CC0D" w:rsidR="005E6617" w:rsidRPr="006A4FFD" w:rsidRDefault="005E6617" w:rsidP="005A1DD4">
            <w:pPr>
              <w:jc w:val="center"/>
              <w:rPr>
                <w:rFonts w:asciiTheme="minorHAnsi" w:hAnsiTheme="minorHAnsi" w:cstheme="minorHAnsi"/>
                <w:b/>
                <w:bCs/>
                <w:color w:val="000000"/>
                <w:sz w:val="18"/>
                <w:szCs w:val="18"/>
                <w:lang w:eastAsia="en-GB"/>
              </w:rPr>
            </w:pPr>
            <w:r w:rsidRPr="006A4FFD">
              <w:rPr>
                <w:rFonts w:asciiTheme="minorHAnsi" w:hAnsiTheme="minorHAnsi" w:cstheme="minorHAnsi"/>
                <w:b/>
                <w:bCs/>
                <w:color w:val="000000"/>
                <w:sz w:val="18"/>
                <w:szCs w:val="18"/>
                <w:lang w:eastAsia="en-GB"/>
              </w:rPr>
              <w:t>4-yr Average</w:t>
            </w:r>
          </w:p>
        </w:tc>
      </w:tr>
      <w:tr w:rsidR="005E6617" w:rsidRPr="005C613E" w14:paraId="36EBD902" w14:textId="77777777" w:rsidTr="006A4FFD">
        <w:trPr>
          <w:trHeight w:val="360"/>
          <w:jc w:val="center"/>
        </w:trPr>
        <w:tc>
          <w:tcPr>
            <w:tcW w:w="2126" w:type="dxa"/>
            <w:shd w:val="clear" w:color="000000" w:fill="FFFFFF"/>
            <w:noWrap/>
            <w:vAlign w:val="center"/>
            <w:hideMark/>
          </w:tcPr>
          <w:p w14:paraId="41A3D5FD"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Total Revenue</w:t>
            </w:r>
          </w:p>
        </w:tc>
        <w:tc>
          <w:tcPr>
            <w:tcW w:w="1276" w:type="dxa"/>
            <w:vAlign w:val="center"/>
          </w:tcPr>
          <w:p w14:paraId="45552580" w14:textId="3276DDA3"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142,388</w:t>
            </w:r>
          </w:p>
        </w:tc>
        <w:tc>
          <w:tcPr>
            <w:tcW w:w="1276" w:type="dxa"/>
            <w:vAlign w:val="center"/>
          </w:tcPr>
          <w:p w14:paraId="6E8C6A20" w14:textId="7694F9EB"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154,687</w:t>
            </w:r>
          </w:p>
        </w:tc>
        <w:tc>
          <w:tcPr>
            <w:tcW w:w="1276" w:type="dxa"/>
            <w:shd w:val="clear" w:color="auto" w:fill="auto"/>
            <w:noWrap/>
            <w:vAlign w:val="center"/>
            <w:hideMark/>
          </w:tcPr>
          <w:p w14:paraId="1BD04A88" w14:textId="75C99243"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173,126</w:t>
            </w:r>
          </w:p>
        </w:tc>
        <w:tc>
          <w:tcPr>
            <w:tcW w:w="1276" w:type="dxa"/>
            <w:vAlign w:val="center"/>
          </w:tcPr>
          <w:p w14:paraId="17F36CE8" w14:textId="455AB4BA" w:rsidR="005E6617" w:rsidRPr="006A4FFD" w:rsidRDefault="00CB7363" w:rsidP="00567919">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181,564</w:t>
            </w:r>
          </w:p>
        </w:tc>
        <w:tc>
          <w:tcPr>
            <w:tcW w:w="1276" w:type="dxa"/>
            <w:shd w:val="clear" w:color="auto" w:fill="auto"/>
            <w:noWrap/>
            <w:vAlign w:val="center"/>
            <w:hideMark/>
          </w:tcPr>
          <w:p w14:paraId="20C81574" w14:textId="2963A998" w:rsidR="005E6617" w:rsidRPr="006A4FFD" w:rsidRDefault="00F52E1D"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162,941</w:t>
            </w:r>
          </w:p>
        </w:tc>
      </w:tr>
      <w:tr w:rsidR="005E6617" w:rsidRPr="005C613E" w14:paraId="0382C493" w14:textId="77777777" w:rsidTr="006A4FFD">
        <w:trPr>
          <w:trHeight w:val="360"/>
          <w:jc w:val="center"/>
        </w:trPr>
        <w:tc>
          <w:tcPr>
            <w:tcW w:w="2126" w:type="dxa"/>
            <w:shd w:val="clear" w:color="000000" w:fill="FFFFFF"/>
            <w:noWrap/>
            <w:vAlign w:val="center"/>
            <w:hideMark/>
          </w:tcPr>
          <w:p w14:paraId="10F101B7"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Net Operating Profit After Tax</w:t>
            </w:r>
          </w:p>
        </w:tc>
        <w:tc>
          <w:tcPr>
            <w:tcW w:w="1276" w:type="dxa"/>
            <w:vAlign w:val="center"/>
          </w:tcPr>
          <w:p w14:paraId="08DB70BF" w14:textId="23CFCCA0"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8,317</w:t>
            </w:r>
          </w:p>
        </w:tc>
        <w:tc>
          <w:tcPr>
            <w:tcW w:w="1276" w:type="dxa"/>
            <w:vAlign w:val="center"/>
          </w:tcPr>
          <w:p w14:paraId="658109C1" w14:textId="50D04A56"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8,214</w:t>
            </w:r>
          </w:p>
        </w:tc>
        <w:tc>
          <w:tcPr>
            <w:tcW w:w="1276" w:type="dxa"/>
            <w:shd w:val="clear" w:color="auto" w:fill="auto"/>
            <w:noWrap/>
            <w:vAlign w:val="center"/>
            <w:hideMark/>
          </w:tcPr>
          <w:p w14:paraId="22601E10" w14:textId="14D19E5A"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8,525</w:t>
            </w:r>
          </w:p>
        </w:tc>
        <w:tc>
          <w:tcPr>
            <w:tcW w:w="1276" w:type="dxa"/>
            <w:vAlign w:val="center"/>
          </w:tcPr>
          <w:p w14:paraId="21F07400" w14:textId="3830DB52" w:rsidR="005E6617" w:rsidRPr="006A4FFD" w:rsidRDefault="00CB7363" w:rsidP="00567919">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14,232</w:t>
            </w:r>
          </w:p>
        </w:tc>
        <w:tc>
          <w:tcPr>
            <w:tcW w:w="1276" w:type="dxa"/>
            <w:shd w:val="clear" w:color="auto" w:fill="auto"/>
            <w:noWrap/>
            <w:vAlign w:val="center"/>
            <w:hideMark/>
          </w:tcPr>
          <w:p w14:paraId="5C6E0355" w14:textId="6F6DEE3A" w:rsidR="005E6617" w:rsidRPr="006A4FFD" w:rsidRDefault="00F52E1D"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9,822</w:t>
            </w:r>
          </w:p>
        </w:tc>
      </w:tr>
      <w:tr w:rsidR="005E6617" w:rsidRPr="005C613E" w14:paraId="11FF3B13" w14:textId="77777777" w:rsidTr="006A4FFD">
        <w:trPr>
          <w:trHeight w:val="360"/>
          <w:jc w:val="center"/>
        </w:trPr>
        <w:tc>
          <w:tcPr>
            <w:tcW w:w="2126" w:type="dxa"/>
            <w:shd w:val="clear" w:color="000000" w:fill="FFFFFF"/>
            <w:noWrap/>
            <w:vAlign w:val="center"/>
            <w:hideMark/>
          </w:tcPr>
          <w:p w14:paraId="27976E4C"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Total Assets</w:t>
            </w:r>
          </w:p>
        </w:tc>
        <w:tc>
          <w:tcPr>
            <w:tcW w:w="1276" w:type="dxa"/>
            <w:vAlign w:val="center"/>
          </w:tcPr>
          <w:p w14:paraId="19730D7C" w14:textId="34F2A9DA"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53,475</w:t>
            </w:r>
          </w:p>
        </w:tc>
        <w:tc>
          <w:tcPr>
            <w:tcW w:w="1276" w:type="dxa"/>
            <w:vAlign w:val="center"/>
          </w:tcPr>
          <w:p w14:paraId="6DD90484" w14:textId="4DDF9F0C"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58,575</w:t>
            </w:r>
          </w:p>
        </w:tc>
        <w:tc>
          <w:tcPr>
            <w:tcW w:w="1276" w:type="dxa"/>
            <w:shd w:val="clear" w:color="auto" w:fill="auto"/>
            <w:noWrap/>
            <w:vAlign w:val="center"/>
          </w:tcPr>
          <w:p w14:paraId="398F3E2E" w14:textId="5E6ACCA7"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63,813</w:t>
            </w:r>
          </w:p>
        </w:tc>
        <w:tc>
          <w:tcPr>
            <w:tcW w:w="1276" w:type="dxa"/>
            <w:vAlign w:val="center"/>
          </w:tcPr>
          <w:p w14:paraId="696EF00F" w14:textId="31D3855F" w:rsidR="005E6617" w:rsidRPr="006A4FFD" w:rsidRDefault="00CB7363" w:rsidP="00567919">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98,203</w:t>
            </w:r>
          </w:p>
        </w:tc>
        <w:tc>
          <w:tcPr>
            <w:tcW w:w="1276" w:type="dxa"/>
            <w:shd w:val="clear" w:color="auto" w:fill="auto"/>
            <w:noWrap/>
            <w:vAlign w:val="center"/>
            <w:hideMark/>
          </w:tcPr>
          <w:p w14:paraId="475138DC" w14:textId="6759283F" w:rsidR="005E6617" w:rsidRPr="006A4FFD" w:rsidRDefault="00F52E1D"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68,517</w:t>
            </w:r>
          </w:p>
        </w:tc>
      </w:tr>
      <w:tr w:rsidR="005E6617" w:rsidRPr="005C613E" w14:paraId="65B4EFF7" w14:textId="77777777" w:rsidTr="006A4FFD">
        <w:trPr>
          <w:trHeight w:val="360"/>
          <w:jc w:val="center"/>
        </w:trPr>
        <w:tc>
          <w:tcPr>
            <w:tcW w:w="2126" w:type="dxa"/>
            <w:shd w:val="clear" w:color="000000" w:fill="FFFFFF"/>
            <w:noWrap/>
            <w:vAlign w:val="center"/>
            <w:hideMark/>
          </w:tcPr>
          <w:p w14:paraId="0789F1A4"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Total Liabilities</w:t>
            </w:r>
          </w:p>
        </w:tc>
        <w:tc>
          <w:tcPr>
            <w:tcW w:w="1276" w:type="dxa"/>
            <w:vAlign w:val="center"/>
          </w:tcPr>
          <w:p w14:paraId="5207DAB9" w14:textId="1BAEB509"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14,290</w:t>
            </w:r>
          </w:p>
        </w:tc>
        <w:tc>
          <w:tcPr>
            <w:tcW w:w="1276" w:type="dxa"/>
            <w:vAlign w:val="center"/>
          </w:tcPr>
          <w:p w14:paraId="125EC340" w14:textId="023EAED2"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17,145</w:t>
            </w:r>
          </w:p>
        </w:tc>
        <w:tc>
          <w:tcPr>
            <w:tcW w:w="1276" w:type="dxa"/>
            <w:shd w:val="clear" w:color="auto" w:fill="auto"/>
            <w:noWrap/>
            <w:vAlign w:val="center"/>
          </w:tcPr>
          <w:p w14:paraId="58753222" w14:textId="5BF2F390"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20,159</w:t>
            </w:r>
          </w:p>
        </w:tc>
        <w:tc>
          <w:tcPr>
            <w:tcW w:w="1276" w:type="dxa"/>
            <w:vAlign w:val="center"/>
          </w:tcPr>
          <w:p w14:paraId="715CF676" w14:textId="1AB04B68" w:rsidR="005E6617" w:rsidRPr="006A4FFD" w:rsidRDefault="00CB7363" w:rsidP="00567919">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44,818</w:t>
            </w:r>
          </w:p>
        </w:tc>
        <w:tc>
          <w:tcPr>
            <w:tcW w:w="1276" w:type="dxa"/>
            <w:shd w:val="clear" w:color="auto" w:fill="auto"/>
            <w:noWrap/>
            <w:vAlign w:val="center"/>
            <w:hideMark/>
          </w:tcPr>
          <w:p w14:paraId="231131EC" w14:textId="6269D86B" w:rsidR="005E6617" w:rsidRPr="006A4FFD" w:rsidRDefault="00F52E1D"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24,103</w:t>
            </w:r>
          </w:p>
        </w:tc>
      </w:tr>
      <w:tr w:rsidR="005E6617" w:rsidRPr="005C613E" w14:paraId="7B4C8020" w14:textId="77777777" w:rsidTr="006A4FFD">
        <w:trPr>
          <w:trHeight w:val="360"/>
          <w:jc w:val="center"/>
        </w:trPr>
        <w:tc>
          <w:tcPr>
            <w:tcW w:w="2126" w:type="dxa"/>
            <w:shd w:val="clear" w:color="000000" w:fill="FFFFFF"/>
            <w:noWrap/>
            <w:vAlign w:val="center"/>
            <w:hideMark/>
          </w:tcPr>
          <w:p w14:paraId="6966D0A3"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Shareholders' Funds</w:t>
            </w:r>
          </w:p>
        </w:tc>
        <w:tc>
          <w:tcPr>
            <w:tcW w:w="1276" w:type="dxa"/>
            <w:vAlign w:val="center"/>
          </w:tcPr>
          <w:p w14:paraId="285EEB5C" w14:textId="76F38EC2"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39,185</w:t>
            </w:r>
          </w:p>
        </w:tc>
        <w:tc>
          <w:tcPr>
            <w:tcW w:w="1276" w:type="dxa"/>
            <w:vAlign w:val="center"/>
          </w:tcPr>
          <w:p w14:paraId="5C7802B6" w14:textId="14B8C1D3"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41,430</w:t>
            </w:r>
          </w:p>
        </w:tc>
        <w:tc>
          <w:tcPr>
            <w:tcW w:w="1276" w:type="dxa"/>
            <w:shd w:val="clear" w:color="auto" w:fill="auto"/>
            <w:noWrap/>
            <w:vAlign w:val="center"/>
          </w:tcPr>
          <w:p w14:paraId="030CD53D" w14:textId="73034FC3"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43,654</w:t>
            </w:r>
          </w:p>
        </w:tc>
        <w:tc>
          <w:tcPr>
            <w:tcW w:w="1276" w:type="dxa"/>
            <w:vAlign w:val="center"/>
          </w:tcPr>
          <w:p w14:paraId="2C57F080" w14:textId="7849899A" w:rsidR="005E6617" w:rsidRPr="006A4FFD" w:rsidRDefault="00CB7363" w:rsidP="00567919">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53,385</w:t>
            </w:r>
          </w:p>
        </w:tc>
        <w:tc>
          <w:tcPr>
            <w:tcW w:w="1276" w:type="dxa"/>
            <w:shd w:val="clear" w:color="auto" w:fill="auto"/>
            <w:noWrap/>
            <w:vAlign w:val="center"/>
            <w:hideMark/>
          </w:tcPr>
          <w:p w14:paraId="1E5D45D3" w14:textId="11A0716B" w:rsidR="005E6617" w:rsidRPr="006A4FFD" w:rsidRDefault="00F52E1D"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44,414</w:t>
            </w:r>
          </w:p>
        </w:tc>
      </w:tr>
      <w:tr w:rsidR="005E6617" w:rsidRPr="005C613E" w14:paraId="75F93E84" w14:textId="77777777" w:rsidTr="006A4FFD">
        <w:trPr>
          <w:trHeight w:val="360"/>
          <w:jc w:val="center"/>
        </w:trPr>
        <w:tc>
          <w:tcPr>
            <w:tcW w:w="2126" w:type="dxa"/>
            <w:shd w:val="clear" w:color="000000" w:fill="FFFFFF"/>
            <w:noWrap/>
            <w:vAlign w:val="center"/>
          </w:tcPr>
          <w:p w14:paraId="40DC3F9D"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EBITDA %</w:t>
            </w:r>
          </w:p>
        </w:tc>
        <w:tc>
          <w:tcPr>
            <w:tcW w:w="1276" w:type="dxa"/>
            <w:vAlign w:val="center"/>
          </w:tcPr>
          <w:p w14:paraId="5C814AC4" w14:textId="0A723299"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9%</w:t>
            </w:r>
          </w:p>
        </w:tc>
        <w:tc>
          <w:tcPr>
            <w:tcW w:w="1276" w:type="dxa"/>
            <w:vAlign w:val="center"/>
          </w:tcPr>
          <w:p w14:paraId="671E2E26" w14:textId="14231179"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 xml:space="preserve">8% </w:t>
            </w:r>
          </w:p>
        </w:tc>
        <w:tc>
          <w:tcPr>
            <w:tcW w:w="1276" w:type="dxa"/>
            <w:shd w:val="clear" w:color="auto" w:fill="auto"/>
            <w:noWrap/>
            <w:vAlign w:val="center"/>
          </w:tcPr>
          <w:p w14:paraId="0BDD45B1" w14:textId="6E0F2AF2"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7%</w:t>
            </w:r>
          </w:p>
        </w:tc>
        <w:tc>
          <w:tcPr>
            <w:tcW w:w="1276" w:type="dxa"/>
            <w:vAlign w:val="center"/>
          </w:tcPr>
          <w:p w14:paraId="027BE68D" w14:textId="2F8C466C" w:rsidR="005E6617" w:rsidRPr="006A4FFD" w:rsidRDefault="00CB7363" w:rsidP="00567919">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11%</w:t>
            </w:r>
          </w:p>
        </w:tc>
        <w:tc>
          <w:tcPr>
            <w:tcW w:w="1276" w:type="dxa"/>
            <w:shd w:val="clear" w:color="auto" w:fill="auto"/>
            <w:noWrap/>
            <w:vAlign w:val="center"/>
          </w:tcPr>
          <w:p w14:paraId="42C761A1" w14:textId="22DACC38"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8</w:t>
            </w:r>
            <w:r w:rsidR="00F52E1D" w:rsidRPr="006A4FFD">
              <w:rPr>
                <w:rFonts w:asciiTheme="minorHAnsi" w:hAnsiTheme="minorHAnsi" w:cstheme="minorHAnsi"/>
                <w:color w:val="000000" w:themeColor="text1"/>
                <w:sz w:val="18"/>
                <w:szCs w:val="18"/>
                <w:lang w:eastAsia="en-GB"/>
              </w:rPr>
              <w:t>.75</w:t>
            </w:r>
            <w:r w:rsidRPr="006A4FFD">
              <w:rPr>
                <w:rFonts w:asciiTheme="minorHAnsi" w:hAnsiTheme="minorHAnsi" w:cstheme="minorHAnsi"/>
                <w:color w:val="000000" w:themeColor="text1"/>
                <w:sz w:val="18"/>
                <w:szCs w:val="18"/>
                <w:lang w:eastAsia="en-GB"/>
              </w:rPr>
              <w:t>%</w:t>
            </w:r>
          </w:p>
        </w:tc>
      </w:tr>
      <w:tr w:rsidR="005E6617" w:rsidRPr="005C613E" w14:paraId="1517BD38" w14:textId="77777777" w:rsidTr="006A4FFD">
        <w:trPr>
          <w:trHeight w:val="360"/>
          <w:jc w:val="center"/>
        </w:trPr>
        <w:tc>
          <w:tcPr>
            <w:tcW w:w="2126" w:type="dxa"/>
            <w:shd w:val="clear" w:color="000000" w:fill="FFFFFF"/>
            <w:noWrap/>
            <w:vAlign w:val="center"/>
          </w:tcPr>
          <w:p w14:paraId="75E056C5"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NOPAT %</w:t>
            </w:r>
          </w:p>
        </w:tc>
        <w:tc>
          <w:tcPr>
            <w:tcW w:w="1276" w:type="dxa"/>
            <w:vAlign w:val="center"/>
          </w:tcPr>
          <w:p w14:paraId="3A6DB77B" w14:textId="34D58F8B"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5.8%</w:t>
            </w:r>
          </w:p>
        </w:tc>
        <w:tc>
          <w:tcPr>
            <w:tcW w:w="1276" w:type="dxa"/>
            <w:vAlign w:val="center"/>
          </w:tcPr>
          <w:p w14:paraId="1E24C386" w14:textId="55D35205"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5.3%</w:t>
            </w:r>
          </w:p>
        </w:tc>
        <w:tc>
          <w:tcPr>
            <w:tcW w:w="1276" w:type="dxa"/>
            <w:shd w:val="clear" w:color="auto" w:fill="auto"/>
            <w:noWrap/>
            <w:vAlign w:val="center"/>
          </w:tcPr>
          <w:p w14:paraId="036DBD5B" w14:textId="22DC19AE"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4.9%</w:t>
            </w:r>
          </w:p>
        </w:tc>
        <w:tc>
          <w:tcPr>
            <w:tcW w:w="1276" w:type="dxa"/>
            <w:vAlign w:val="center"/>
          </w:tcPr>
          <w:p w14:paraId="01F69F18" w14:textId="33767979" w:rsidR="005E6617" w:rsidRPr="006A4FFD" w:rsidRDefault="00CB7363" w:rsidP="00567919">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7.8%</w:t>
            </w:r>
          </w:p>
        </w:tc>
        <w:tc>
          <w:tcPr>
            <w:tcW w:w="1276" w:type="dxa"/>
            <w:shd w:val="clear" w:color="auto" w:fill="auto"/>
            <w:noWrap/>
            <w:vAlign w:val="center"/>
          </w:tcPr>
          <w:p w14:paraId="2405FF16" w14:textId="532BC29A"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5.</w:t>
            </w:r>
            <w:r w:rsidR="00F52E1D" w:rsidRPr="006A4FFD">
              <w:rPr>
                <w:rFonts w:asciiTheme="minorHAnsi" w:hAnsiTheme="minorHAnsi" w:cstheme="minorHAnsi"/>
                <w:color w:val="000000" w:themeColor="text1"/>
                <w:sz w:val="18"/>
                <w:szCs w:val="18"/>
                <w:lang w:eastAsia="en-GB"/>
              </w:rPr>
              <w:t>95</w:t>
            </w:r>
            <w:r w:rsidRPr="006A4FFD">
              <w:rPr>
                <w:rFonts w:asciiTheme="minorHAnsi" w:hAnsiTheme="minorHAnsi" w:cstheme="minorHAnsi"/>
                <w:color w:val="000000" w:themeColor="text1"/>
                <w:sz w:val="18"/>
                <w:szCs w:val="18"/>
                <w:lang w:eastAsia="en-GB"/>
              </w:rPr>
              <w:t>%</w:t>
            </w:r>
          </w:p>
        </w:tc>
      </w:tr>
      <w:tr w:rsidR="005E6617" w:rsidRPr="005C613E" w14:paraId="1B6B5D1C" w14:textId="77777777" w:rsidTr="006A4FFD">
        <w:trPr>
          <w:trHeight w:val="360"/>
          <w:jc w:val="center"/>
        </w:trPr>
        <w:tc>
          <w:tcPr>
            <w:tcW w:w="2126" w:type="dxa"/>
            <w:shd w:val="clear" w:color="000000" w:fill="FFFFFF"/>
            <w:noWrap/>
            <w:vAlign w:val="center"/>
            <w:hideMark/>
          </w:tcPr>
          <w:p w14:paraId="4AC2D919"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ROE %</w:t>
            </w:r>
          </w:p>
        </w:tc>
        <w:tc>
          <w:tcPr>
            <w:tcW w:w="1276" w:type="dxa"/>
            <w:vAlign w:val="center"/>
          </w:tcPr>
          <w:p w14:paraId="300F6010" w14:textId="50FB4F14"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21.2%</w:t>
            </w:r>
          </w:p>
        </w:tc>
        <w:tc>
          <w:tcPr>
            <w:tcW w:w="1276" w:type="dxa"/>
            <w:vAlign w:val="center"/>
          </w:tcPr>
          <w:p w14:paraId="58E50055" w14:textId="6DBB214B"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19.8%</w:t>
            </w:r>
          </w:p>
        </w:tc>
        <w:tc>
          <w:tcPr>
            <w:tcW w:w="1276" w:type="dxa"/>
            <w:shd w:val="clear" w:color="auto" w:fill="auto"/>
            <w:noWrap/>
            <w:vAlign w:val="center"/>
          </w:tcPr>
          <w:p w14:paraId="644A9165" w14:textId="0D09F00B"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19.5%</w:t>
            </w:r>
          </w:p>
        </w:tc>
        <w:tc>
          <w:tcPr>
            <w:tcW w:w="1276" w:type="dxa"/>
            <w:vAlign w:val="center"/>
          </w:tcPr>
          <w:p w14:paraId="19C988CA" w14:textId="56B76D75" w:rsidR="005E6617" w:rsidRPr="006A4FFD" w:rsidRDefault="001E32BA" w:rsidP="00567919">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26.7%</w:t>
            </w:r>
          </w:p>
        </w:tc>
        <w:tc>
          <w:tcPr>
            <w:tcW w:w="1276" w:type="dxa"/>
            <w:shd w:val="clear" w:color="auto" w:fill="auto"/>
            <w:noWrap/>
            <w:vAlign w:val="center"/>
            <w:hideMark/>
          </w:tcPr>
          <w:p w14:paraId="1BB8CBB3" w14:textId="28821E98" w:rsidR="005E6617" w:rsidRPr="006A4FFD" w:rsidRDefault="005E6617">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w:t>
            </w:r>
            <w:r w:rsidR="00C50A54" w:rsidRPr="006A4FFD">
              <w:rPr>
                <w:rFonts w:asciiTheme="minorHAnsi" w:hAnsiTheme="minorHAnsi" w:cstheme="minorHAnsi"/>
                <w:color w:val="000000" w:themeColor="text1"/>
                <w:sz w:val="18"/>
                <w:szCs w:val="18"/>
                <w:lang w:eastAsia="en-GB"/>
              </w:rPr>
              <w:t>1</w:t>
            </w:r>
            <w:r w:rsidRPr="006A4FFD">
              <w:rPr>
                <w:rFonts w:asciiTheme="minorHAnsi" w:hAnsiTheme="minorHAnsi" w:cstheme="minorHAnsi"/>
                <w:color w:val="000000" w:themeColor="text1"/>
                <w:sz w:val="18"/>
                <w:szCs w:val="18"/>
                <w:lang w:eastAsia="en-GB"/>
              </w:rPr>
              <w:t>.</w:t>
            </w:r>
            <w:r w:rsidR="00C50A54" w:rsidRPr="006A4FFD">
              <w:rPr>
                <w:rFonts w:asciiTheme="minorHAnsi" w:hAnsiTheme="minorHAnsi" w:cstheme="minorHAnsi"/>
                <w:color w:val="000000" w:themeColor="text1"/>
                <w:sz w:val="18"/>
                <w:szCs w:val="18"/>
                <w:lang w:eastAsia="en-GB"/>
              </w:rPr>
              <w:t>8</w:t>
            </w:r>
            <w:r w:rsidRPr="006A4FFD">
              <w:rPr>
                <w:rFonts w:asciiTheme="minorHAnsi" w:hAnsiTheme="minorHAnsi" w:cstheme="minorHAnsi"/>
                <w:color w:val="000000" w:themeColor="text1"/>
                <w:sz w:val="18"/>
                <w:szCs w:val="18"/>
                <w:lang w:eastAsia="en-GB"/>
              </w:rPr>
              <w:t>%</w:t>
            </w:r>
          </w:p>
        </w:tc>
      </w:tr>
      <w:tr w:rsidR="005E6617" w:rsidRPr="005C613E" w14:paraId="7B8B90C0" w14:textId="77777777" w:rsidTr="006A4FFD">
        <w:trPr>
          <w:trHeight w:val="360"/>
          <w:jc w:val="center"/>
        </w:trPr>
        <w:tc>
          <w:tcPr>
            <w:tcW w:w="2126" w:type="dxa"/>
            <w:shd w:val="clear" w:color="000000" w:fill="FFFFFF"/>
            <w:noWrap/>
            <w:vAlign w:val="center"/>
            <w:hideMark/>
          </w:tcPr>
          <w:p w14:paraId="00DFAECD"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ROA %</w:t>
            </w:r>
          </w:p>
        </w:tc>
        <w:tc>
          <w:tcPr>
            <w:tcW w:w="1276" w:type="dxa"/>
            <w:vAlign w:val="center"/>
          </w:tcPr>
          <w:p w14:paraId="2041A7B8" w14:textId="435638B1"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15.6%</w:t>
            </w:r>
          </w:p>
        </w:tc>
        <w:tc>
          <w:tcPr>
            <w:tcW w:w="1276" w:type="dxa"/>
            <w:vAlign w:val="center"/>
          </w:tcPr>
          <w:p w14:paraId="11CC0EFF" w14:textId="6F5BEEBD"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14.0%</w:t>
            </w:r>
          </w:p>
        </w:tc>
        <w:tc>
          <w:tcPr>
            <w:tcW w:w="1276" w:type="dxa"/>
            <w:shd w:val="clear" w:color="auto" w:fill="auto"/>
            <w:noWrap/>
            <w:vAlign w:val="center"/>
          </w:tcPr>
          <w:p w14:paraId="5C6800BF" w14:textId="44BA8EAF"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13.4%</w:t>
            </w:r>
          </w:p>
        </w:tc>
        <w:tc>
          <w:tcPr>
            <w:tcW w:w="1276" w:type="dxa"/>
            <w:vAlign w:val="center"/>
          </w:tcPr>
          <w:p w14:paraId="5E4B866A" w14:textId="55EF1604" w:rsidR="005E6617" w:rsidRPr="006A4FFD" w:rsidRDefault="001E32BA" w:rsidP="00567919">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14.5%</w:t>
            </w:r>
          </w:p>
        </w:tc>
        <w:tc>
          <w:tcPr>
            <w:tcW w:w="1276" w:type="dxa"/>
            <w:shd w:val="clear" w:color="auto" w:fill="auto"/>
            <w:noWrap/>
            <w:vAlign w:val="center"/>
            <w:hideMark/>
          </w:tcPr>
          <w:p w14:paraId="1CF1991C" w14:textId="3A7EDD65"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14.3</w:t>
            </w:r>
            <w:r w:rsidR="00C50A54" w:rsidRPr="006A4FFD">
              <w:rPr>
                <w:rFonts w:asciiTheme="minorHAnsi" w:hAnsiTheme="minorHAnsi" w:cstheme="minorHAnsi"/>
                <w:color w:val="000000" w:themeColor="text1"/>
                <w:sz w:val="18"/>
                <w:szCs w:val="18"/>
                <w:lang w:eastAsia="en-GB"/>
              </w:rPr>
              <w:t>8</w:t>
            </w:r>
            <w:r w:rsidRPr="006A4FFD">
              <w:rPr>
                <w:rFonts w:asciiTheme="minorHAnsi" w:hAnsiTheme="minorHAnsi" w:cstheme="minorHAnsi"/>
                <w:color w:val="000000" w:themeColor="text1"/>
                <w:sz w:val="18"/>
                <w:szCs w:val="18"/>
                <w:lang w:eastAsia="en-GB"/>
              </w:rPr>
              <w:t>%</w:t>
            </w:r>
          </w:p>
        </w:tc>
      </w:tr>
      <w:tr w:rsidR="005E6617" w:rsidRPr="005C613E" w14:paraId="6BE12763" w14:textId="77777777" w:rsidTr="006A4FFD">
        <w:trPr>
          <w:trHeight w:val="360"/>
          <w:jc w:val="center"/>
        </w:trPr>
        <w:tc>
          <w:tcPr>
            <w:tcW w:w="2126" w:type="dxa"/>
            <w:shd w:val="clear" w:color="000000" w:fill="FFFFFF"/>
            <w:noWrap/>
            <w:vAlign w:val="center"/>
          </w:tcPr>
          <w:p w14:paraId="343CFDD4"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Current Assets / Current liabilities</w:t>
            </w:r>
          </w:p>
        </w:tc>
        <w:tc>
          <w:tcPr>
            <w:tcW w:w="1276" w:type="dxa"/>
            <w:vAlign w:val="center"/>
          </w:tcPr>
          <w:p w14:paraId="22E26D08" w14:textId="55A1A176"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3.58</w:t>
            </w:r>
          </w:p>
        </w:tc>
        <w:tc>
          <w:tcPr>
            <w:tcW w:w="1276" w:type="dxa"/>
            <w:vAlign w:val="center"/>
          </w:tcPr>
          <w:p w14:paraId="637D9C87" w14:textId="0F8C5A0E"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3.27</w:t>
            </w:r>
          </w:p>
        </w:tc>
        <w:tc>
          <w:tcPr>
            <w:tcW w:w="1276" w:type="dxa"/>
            <w:shd w:val="clear" w:color="auto" w:fill="auto"/>
            <w:noWrap/>
            <w:vAlign w:val="center"/>
          </w:tcPr>
          <w:p w14:paraId="64EAD1F7" w14:textId="4561DCF7"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 xml:space="preserve">3.01 </w:t>
            </w:r>
          </w:p>
        </w:tc>
        <w:tc>
          <w:tcPr>
            <w:tcW w:w="1276" w:type="dxa"/>
            <w:vAlign w:val="center"/>
          </w:tcPr>
          <w:p w14:paraId="0219370E" w14:textId="502C829A" w:rsidR="005E6617" w:rsidRPr="006A4FFD" w:rsidRDefault="001E32BA" w:rsidP="00567919">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2.08</w:t>
            </w:r>
          </w:p>
        </w:tc>
        <w:tc>
          <w:tcPr>
            <w:tcW w:w="1276" w:type="dxa"/>
            <w:shd w:val="clear" w:color="auto" w:fill="auto"/>
            <w:noWrap/>
            <w:vAlign w:val="center"/>
          </w:tcPr>
          <w:p w14:paraId="1F85D24A" w14:textId="002AC827" w:rsidR="005E6617" w:rsidRPr="006A4FFD" w:rsidRDefault="00C50A5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w:t>
            </w:r>
            <w:r w:rsidR="005E6617" w:rsidRPr="006A4FFD">
              <w:rPr>
                <w:rFonts w:asciiTheme="minorHAnsi" w:hAnsiTheme="minorHAnsi" w:cstheme="minorHAnsi"/>
                <w:color w:val="000000" w:themeColor="text1"/>
                <w:sz w:val="18"/>
                <w:szCs w:val="18"/>
                <w:lang w:eastAsia="en-GB"/>
              </w:rPr>
              <w:t>.</w:t>
            </w:r>
            <w:r w:rsidRPr="006A4FFD">
              <w:rPr>
                <w:rFonts w:asciiTheme="minorHAnsi" w:hAnsiTheme="minorHAnsi" w:cstheme="minorHAnsi"/>
                <w:color w:val="000000" w:themeColor="text1"/>
                <w:sz w:val="18"/>
                <w:szCs w:val="18"/>
                <w:lang w:eastAsia="en-GB"/>
              </w:rPr>
              <w:t>99</w:t>
            </w:r>
          </w:p>
        </w:tc>
      </w:tr>
      <w:tr w:rsidR="005E6617" w:rsidRPr="005C613E" w14:paraId="17BB6C77" w14:textId="77777777" w:rsidTr="006A4FFD">
        <w:trPr>
          <w:trHeight w:val="360"/>
          <w:jc w:val="center"/>
        </w:trPr>
        <w:tc>
          <w:tcPr>
            <w:tcW w:w="2126" w:type="dxa"/>
            <w:shd w:val="clear" w:color="000000" w:fill="FFFFFF"/>
            <w:noWrap/>
            <w:vAlign w:val="center"/>
          </w:tcPr>
          <w:p w14:paraId="37B0FE3F"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Quick Ratio</w:t>
            </w:r>
          </w:p>
        </w:tc>
        <w:tc>
          <w:tcPr>
            <w:tcW w:w="1276" w:type="dxa"/>
            <w:vAlign w:val="center"/>
          </w:tcPr>
          <w:p w14:paraId="1C168557" w14:textId="6025559E"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2.46</w:t>
            </w:r>
          </w:p>
        </w:tc>
        <w:tc>
          <w:tcPr>
            <w:tcW w:w="1276" w:type="dxa"/>
            <w:vAlign w:val="center"/>
          </w:tcPr>
          <w:p w14:paraId="270614E7" w14:textId="4532A252"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1.72</w:t>
            </w:r>
          </w:p>
        </w:tc>
        <w:tc>
          <w:tcPr>
            <w:tcW w:w="1276" w:type="dxa"/>
            <w:shd w:val="clear" w:color="auto" w:fill="auto"/>
            <w:noWrap/>
            <w:vAlign w:val="center"/>
          </w:tcPr>
          <w:p w14:paraId="2F5CA189" w14:textId="2987E11C"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1.64</w:t>
            </w:r>
          </w:p>
        </w:tc>
        <w:tc>
          <w:tcPr>
            <w:tcW w:w="1276" w:type="dxa"/>
            <w:vAlign w:val="center"/>
          </w:tcPr>
          <w:p w14:paraId="6C43473A" w14:textId="569B1E0B" w:rsidR="005E6617" w:rsidRPr="006A4FFD" w:rsidRDefault="001E32BA" w:rsidP="00567919">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1.30</w:t>
            </w:r>
          </w:p>
        </w:tc>
        <w:tc>
          <w:tcPr>
            <w:tcW w:w="1276" w:type="dxa"/>
            <w:shd w:val="clear" w:color="auto" w:fill="auto"/>
            <w:noWrap/>
            <w:vAlign w:val="center"/>
          </w:tcPr>
          <w:p w14:paraId="0FADC06A" w14:textId="044D32D3" w:rsidR="005E6617" w:rsidRPr="006A4FFD" w:rsidRDefault="005E6617">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w:t>
            </w:r>
            <w:r w:rsidR="00C50A54" w:rsidRPr="006A4FFD">
              <w:rPr>
                <w:rFonts w:asciiTheme="minorHAnsi" w:hAnsiTheme="minorHAnsi" w:cstheme="minorHAnsi"/>
                <w:color w:val="000000" w:themeColor="text1"/>
                <w:sz w:val="18"/>
                <w:szCs w:val="18"/>
                <w:lang w:eastAsia="en-GB"/>
              </w:rPr>
              <w:t>78</w:t>
            </w:r>
          </w:p>
        </w:tc>
      </w:tr>
      <w:tr w:rsidR="005E6617" w:rsidRPr="005C613E" w14:paraId="6B385C31" w14:textId="77777777" w:rsidTr="006A4FFD">
        <w:trPr>
          <w:trHeight w:val="360"/>
          <w:jc w:val="center"/>
        </w:trPr>
        <w:tc>
          <w:tcPr>
            <w:tcW w:w="2126" w:type="dxa"/>
            <w:shd w:val="clear" w:color="000000" w:fill="FFFFFF"/>
            <w:noWrap/>
            <w:vAlign w:val="center"/>
          </w:tcPr>
          <w:p w14:paraId="0C3CCF6D"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Accounts Receivable Days</w:t>
            </w:r>
          </w:p>
        </w:tc>
        <w:tc>
          <w:tcPr>
            <w:tcW w:w="1276" w:type="dxa"/>
            <w:vAlign w:val="center"/>
          </w:tcPr>
          <w:p w14:paraId="13EE32EF" w14:textId="24E8B546"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25</w:t>
            </w:r>
          </w:p>
        </w:tc>
        <w:tc>
          <w:tcPr>
            <w:tcW w:w="1276" w:type="dxa"/>
            <w:vAlign w:val="center"/>
          </w:tcPr>
          <w:p w14:paraId="3424C65A" w14:textId="3BE72B58"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38</w:t>
            </w:r>
          </w:p>
        </w:tc>
        <w:tc>
          <w:tcPr>
            <w:tcW w:w="1276" w:type="dxa"/>
            <w:shd w:val="clear" w:color="auto" w:fill="auto"/>
            <w:noWrap/>
            <w:vAlign w:val="center"/>
          </w:tcPr>
          <w:p w14:paraId="01DA4823" w14:textId="180BEC53"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32</w:t>
            </w:r>
          </w:p>
        </w:tc>
        <w:tc>
          <w:tcPr>
            <w:tcW w:w="1276" w:type="dxa"/>
            <w:vAlign w:val="center"/>
          </w:tcPr>
          <w:p w14:paraId="4FDB36D5" w14:textId="17DC6C82" w:rsidR="005E6617" w:rsidRPr="006A4FFD" w:rsidRDefault="001E32BA" w:rsidP="00567919">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34</w:t>
            </w:r>
          </w:p>
        </w:tc>
        <w:tc>
          <w:tcPr>
            <w:tcW w:w="1276" w:type="dxa"/>
            <w:shd w:val="clear" w:color="auto" w:fill="auto"/>
            <w:noWrap/>
            <w:vAlign w:val="center"/>
          </w:tcPr>
          <w:p w14:paraId="2E0E073C" w14:textId="6C107EBE"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32</w:t>
            </w:r>
          </w:p>
        </w:tc>
      </w:tr>
      <w:tr w:rsidR="005E6617" w:rsidRPr="005C613E" w14:paraId="1ABEF0CF" w14:textId="77777777" w:rsidTr="006A4FFD">
        <w:trPr>
          <w:trHeight w:val="360"/>
          <w:jc w:val="center"/>
        </w:trPr>
        <w:tc>
          <w:tcPr>
            <w:tcW w:w="2126" w:type="dxa"/>
            <w:shd w:val="clear" w:color="000000" w:fill="FFFFFF"/>
            <w:noWrap/>
            <w:vAlign w:val="center"/>
          </w:tcPr>
          <w:p w14:paraId="6C35BB02"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lastRenderedPageBreak/>
              <w:t>Assets Turnover</w:t>
            </w:r>
          </w:p>
        </w:tc>
        <w:tc>
          <w:tcPr>
            <w:tcW w:w="1276" w:type="dxa"/>
            <w:vAlign w:val="center"/>
          </w:tcPr>
          <w:p w14:paraId="64543BA1" w14:textId="462C1146"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2.54</w:t>
            </w:r>
          </w:p>
        </w:tc>
        <w:tc>
          <w:tcPr>
            <w:tcW w:w="1276" w:type="dxa"/>
            <w:vAlign w:val="center"/>
          </w:tcPr>
          <w:p w14:paraId="0E806BBA" w14:textId="359B5D6E"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2.67</w:t>
            </w:r>
          </w:p>
        </w:tc>
        <w:tc>
          <w:tcPr>
            <w:tcW w:w="1276" w:type="dxa"/>
            <w:shd w:val="clear" w:color="auto" w:fill="auto"/>
            <w:noWrap/>
            <w:vAlign w:val="center"/>
          </w:tcPr>
          <w:p w14:paraId="6FB1890C" w14:textId="4C868B73"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2.72</w:t>
            </w:r>
          </w:p>
        </w:tc>
        <w:tc>
          <w:tcPr>
            <w:tcW w:w="1276" w:type="dxa"/>
            <w:vAlign w:val="center"/>
          </w:tcPr>
          <w:p w14:paraId="76218F87" w14:textId="7E3B68E7" w:rsidR="005E6617" w:rsidRPr="006A4FFD" w:rsidRDefault="001E32BA" w:rsidP="00567919">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2.13</w:t>
            </w:r>
          </w:p>
        </w:tc>
        <w:tc>
          <w:tcPr>
            <w:tcW w:w="1276" w:type="dxa"/>
            <w:shd w:val="clear" w:color="auto" w:fill="auto"/>
            <w:noWrap/>
            <w:vAlign w:val="center"/>
          </w:tcPr>
          <w:p w14:paraId="08E38055" w14:textId="20A3740A"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w:t>
            </w:r>
            <w:r w:rsidR="00C50A54" w:rsidRPr="006A4FFD">
              <w:rPr>
                <w:rFonts w:asciiTheme="minorHAnsi" w:hAnsiTheme="minorHAnsi" w:cstheme="minorHAnsi"/>
                <w:color w:val="000000" w:themeColor="text1"/>
                <w:sz w:val="18"/>
                <w:szCs w:val="18"/>
                <w:lang w:eastAsia="en-GB"/>
              </w:rPr>
              <w:t>52</w:t>
            </w:r>
          </w:p>
        </w:tc>
      </w:tr>
      <w:tr w:rsidR="005E6617" w:rsidRPr="005C613E" w14:paraId="0E15A5B7" w14:textId="77777777" w:rsidTr="006A4FFD">
        <w:trPr>
          <w:trHeight w:val="360"/>
          <w:jc w:val="center"/>
        </w:trPr>
        <w:tc>
          <w:tcPr>
            <w:tcW w:w="2126" w:type="dxa"/>
            <w:shd w:val="clear" w:color="000000" w:fill="FFFFFF"/>
            <w:noWrap/>
            <w:vAlign w:val="center"/>
            <w:hideMark/>
          </w:tcPr>
          <w:p w14:paraId="2A28E3F5"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Debt / Equity Ratio</w:t>
            </w:r>
          </w:p>
        </w:tc>
        <w:tc>
          <w:tcPr>
            <w:tcW w:w="1276" w:type="dxa"/>
            <w:vAlign w:val="center"/>
          </w:tcPr>
          <w:p w14:paraId="7DBDEEAA" w14:textId="0FE92CC3"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n/a</w:t>
            </w:r>
          </w:p>
        </w:tc>
        <w:tc>
          <w:tcPr>
            <w:tcW w:w="1276" w:type="dxa"/>
            <w:vAlign w:val="center"/>
          </w:tcPr>
          <w:p w14:paraId="7A79E697" w14:textId="6BE0B84F"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n/a</w:t>
            </w:r>
          </w:p>
        </w:tc>
        <w:tc>
          <w:tcPr>
            <w:tcW w:w="1276" w:type="dxa"/>
            <w:shd w:val="clear" w:color="auto" w:fill="auto"/>
            <w:noWrap/>
            <w:vAlign w:val="center"/>
          </w:tcPr>
          <w:p w14:paraId="3190325B" w14:textId="45B40704"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n/a</w:t>
            </w:r>
          </w:p>
        </w:tc>
        <w:tc>
          <w:tcPr>
            <w:tcW w:w="1276" w:type="dxa"/>
            <w:vAlign w:val="center"/>
          </w:tcPr>
          <w:p w14:paraId="19F15A01" w14:textId="4834502B" w:rsidR="005E6617" w:rsidRPr="006A4FFD" w:rsidRDefault="001E32BA" w:rsidP="00567919">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n/a</w:t>
            </w:r>
          </w:p>
        </w:tc>
        <w:tc>
          <w:tcPr>
            <w:tcW w:w="1276" w:type="dxa"/>
            <w:shd w:val="clear" w:color="auto" w:fill="auto"/>
            <w:noWrap/>
            <w:vAlign w:val="center"/>
            <w:hideMark/>
          </w:tcPr>
          <w:p w14:paraId="03E89E82" w14:textId="008C1AEB"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n/a</w:t>
            </w:r>
          </w:p>
        </w:tc>
      </w:tr>
    </w:tbl>
    <w:p w14:paraId="53A7ACA0" w14:textId="4AF9AF11" w:rsidR="005C613E" w:rsidRPr="00D8583C" w:rsidRDefault="006D3D6C" w:rsidP="005C613E">
      <w:pPr>
        <w:ind w:firstLine="426"/>
        <w:rPr>
          <w:rFonts w:asciiTheme="minorHAnsi" w:eastAsia="CenturyGothic" w:hAnsiTheme="minorHAnsi" w:cs="Arial"/>
          <w:i/>
          <w:szCs w:val="22"/>
        </w:rPr>
      </w:pPr>
      <w:r w:rsidRPr="00D25BE7">
        <w:rPr>
          <w:rFonts w:asciiTheme="minorHAnsi" w:hAnsiTheme="minorHAnsi"/>
        </w:rPr>
        <w:t xml:space="preserve"> </w:t>
      </w:r>
    </w:p>
    <w:p w14:paraId="6F8311B4" w14:textId="77777777" w:rsidR="006D3D6C" w:rsidRPr="00D25BE7" w:rsidRDefault="006D3D6C" w:rsidP="006D3D6C">
      <w:pPr>
        <w:rPr>
          <w:rFonts w:asciiTheme="minorHAnsi" w:hAnsiTheme="minorHAnsi"/>
          <w:color w:val="000000" w:themeColor="text1"/>
          <w:lang w:val="en-GB"/>
        </w:rPr>
      </w:pPr>
    </w:p>
    <w:p w14:paraId="797E3B73" w14:textId="77777777" w:rsidR="00271903" w:rsidRPr="0023147B" w:rsidRDefault="00271903" w:rsidP="0023147B">
      <w:pPr>
        <w:rPr>
          <w:rFonts w:asciiTheme="minorHAnsi" w:hAnsiTheme="minorHAnsi"/>
          <w:lang w:val="en-GB"/>
        </w:rPr>
      </w:pPr>
    </w:p>
    <w:p w14:paraId="296E6F66" w14:textId="6DAC40A1" w:rsidR="00271903" w:rsidRPr="00DF496E" w:rsidRDefault="00271903" w:rsidP="00271903">
      <w:pPr>
        <w:pStyle w:val="ListParagraph"/>
        <w:ind w:left="426" w:hanging="426"/>
        <w:rPr>
          <w:rFonts w:asciiTheme="minorHAnsi" w:hAnsiTheme="minorHAnsi"/>
          <w:color w:val="000000" w:themeColor="text1"/>
          <w:szCs w:val="22"/>
          <w:lang w:val="en-GB"/>
        </w:rPr>
      </w:pPr>
      <w:r w:rsidRPr="00DF496E">
        <w:rPr>
          <w:rFonts w:asciiTheme="minorHAnsi" w:hAnsiTheme="minorHAnsi"/>
          <w:lang w:val="en-GB"/>
        </w:rPr>
        <w:t xml:space="preserve">Whilst the company appears sound, the changes in revenue and NOPAT are </w:t>
      </w:r>
      <w:r w:rsidR="00D7406D" w:rsidRPr="00DF496E">
        <w:rPr>
          <w:rFonts w:asciiTheme="minorHAnsi" w:hAnsiTheme="minorHAnsi"/>
          <w:lang w:val="en-GB"/>
        </w:rPr>
        <w:t>a little erratic</w:t>
      </w:r>
      <w:r w:rsidR="00126B41" w:rsidRPr="00DF496E">
        <w:rPr>
          <w:rFonts w:asciiTheme="minorHAnsi" w:hAnsiTheme="minorHAnsi"/>
          <w:lang w:val="en-GB"/>
        </w:rPr>
        <w:t>, particularly in 2017/18,</w:t>
      </w:r>
      <w:r w:rsidR="00D7406D" w:rsidRPr="00DF496E">
        <w:rPr>
          <w:rFonts w:asciiTheme="minorHAnsi" w:hAnsiTheme="minorHAnsi"/>
          <w:lang w:val="en-GB"/>
        </w:rPr>
        <w:t xml:space="preserve"> as can be seen from </w:t>
      </w:r>
      <w:r w:rsidR="00D7406D" w:rsidRPr="00243C32">
        <w:rPr>
          <w:rFonts w:asciiTheme="minorHAnsi" w:hAnsiTheme="minorHAnsi"/>
          <w:lang w:val="en-GB"/>
        </w:rPr>
        <w:t xml:space="preserve">Table </w:t>
      </w:r>
      <w:r w:rsidR="00DF496E" w:rsidRPr="00243C32">
        <w:rPr>
          <w:rFonts w:asciiTheme="minorHAnsi" w:hAnsiTheme="minorHAnsi"/>
          <w:lang w:val="en-GB"/>
        </w:rPr>
        <w:t xml:space="preserve">19 </w:t>
      </w:r>
      <w:r w:rsidR="00D7406D" w:rsidRPr="00243C32">
        <w:rPr>
          <w:rFonts w:asciiTheme="minorHAnsi" w:hAnsiTheme="minorHAnsi"/>
          <w:lang w:val="en-GB"/>
        </w:rPr>
        <w:t>below</w:t>
      </w:r>
    </w:p>
    <w:p w14:paraId="16122180" w14:textId="04385B86" w:rsidR="007310BD" w:rsidRPr="00243C32" w:rsidRDefault="00D7406D" w:rsidP="006D3D6C">
      <w:pPr>
        <w:pStyle w:val="ListParagraph"/>
        <w:ind w:left="567" w:hanging="567"/>
        <w:rPr>
          <w:rFonts w:asciiTheme="minorHAnsi" w:hAnsiTheme="minorHAnsi"/>
          <w:b/>
          <w:lang w:val="en-GB"/>
        </w:rPr>
      </w:pPr>
      <w:r w:rsidRPr="00243C32">
        <w:rPr>
          <w:rFonts w:asciiTheme="minorHAnsi" w:hAnsiTheme="minorHAnsi"/>
          <w:b/>
          <w:lang w:val="en-GB"/>
        </w:rPr>
        <w:t xml:space="preserve">Table </w:t>
      </w:r>
      <w:r w:rsidR="00DF496E">
        <w:rPr>
          <w:rFonts w:asciiTheme="minorHAnsi" w:hAnsiTheme="minorHAnsi"/>
          <w:b/>
          <w:lang w:val="en-GB"/>
        </w:rPr>
        <w:t>19</w:t>
      </w:r>
      <w:r w:rsidRPr="00243C32">
        <w:rPr>
          <w:rFonts w:asciiTheme="minorHAnsi" w:hAnsiTheme="minorHAnsi"/>
          <w:b/>
          <w:lang w:val="en-GB"/>
        </w:rPr>
        <w:t xml:space="preserve">: OK Bazaars </w:t>
      </w:r>
      <w:r w:rsidR="00126B41" w:rsidRPr="00243C32">
        <w:rPr>
          <w:rFonts w:asciiTheme="minorHAnsi" w:hAnsiTheme="minorHAnsi"/>
          <w:b/>
          <w:lang w:val="en-GB"/>
        </w:rPr>
        <w:t xml:space="preserve">- </w:t>
      </w:r>
      <w:r w:rsidRPr="00243C32">
        <w:rPr>
          <w:rFonts w:asciiTheme="minorHAnsi" w:hAnsiTheme="minorHAnsi"/>
          <w:b/>
          <w:lang w:val="en-GB"/>
        </w:rPr>
        <w:t>Year on Year Change in Revenue and NOPAT</w:t>
      </w:r>
    </w:p>
    <w:tbl>
      <w:tblPr>
        <w:tblW w:w="8000" w:type="dxa"/>
        <w:tblInd w:w="93" w:type="dxa"/>
        <w:tblLook w:val="04A0" w:firstRow="1" w:lastRow="0" w:firstColumn="1" w:lastColumn="0" w:noHBand="0" w:noVBand="1"/>
      </w:tblPr>
      <w:tblGrid>
        <w:gridCol w:w="2800"/>
        <w:gridCol w:w="1300"/>
        <w:gridCol w:w="1300"/>
        <w:gridCol w:w="1300"/>
        <w:gridCol w:w="1300"/>
      </w:tblGrid>
      <w:tr w:rsidR="007310BD" w:rsidRPr="007310BD" w14:paraId="56882812" w14:textId="77777777" w:rsidTr="007310BD">
        <w:trPr>
          <w:trHeight w:val="320"/>
        </w:trPr>
        <w:tc>
          <w:tcPr>
            <w:tcW w:w="2800" w:type="dxa"/>
            <w:tcBorders>
              <w:top w:val="nil"/>
              <w:left w:val="nil"/>
              <w:bottom w:val="nil"/>
              <w:right w:val="nil"/>
            </w:tcBorders>
            <w:shd w:val="clear" w:color="auto" w:fill="auto"/>
            <w:noWrap/>
            <w:vAlign w:val="bottom"/>
            <w:hideMark/>
          </w:tcPr>
          <w:p w14:paraId="30D4D29F" w14:textId="77777777" w:rsidR="007310BD" w:rsidRPr="0023147B" w:rsidRDefault="007310BD" w:rsidP="007310BD">
            <w:pPr>
              <w:tabs>
                <w:tab w:val="center" w:pos="4320"/>
                <w:tab w:val="right" w:pos="8640"/>
              </w:tabs>
              <w:jc w:val="left"/>
              <w:rPr>
                <w:rFonts w:asciiTheme="minorHAnsi" w:hAnsiTheme="minorHAnsi"/>
                <w:color w:val="000000"/>
                <w:sz w:val="20"/>
                <w:lang w:val="en-GB"/>
              </w:rPr>
            </w:pPr>
          </w:p>
        </w:tc>
        <w:tc>
          <w:tcPr>
            <w:tcW w:w="1300" w:type="dxa"/>
            <w:tcBorders>
              <w:top w:val="nil"/>
              <w:left w:val="nil"/>
              <w:bottom w:val="single" w:sz="8" w:space="0" w:color="auto"/>
              <w:right w:val="single" w:sz="8" w:space="0" w:color="auto"/>
            </w:tcBorders>
            <w:shd w:val="clear" w:color="000000" w:fill="D9D9D9"/>
            <w:vAlign w:val="center"/>
            <w:hideMark/>
          </w:tcPr>
          <w:p w14:paraId="6FA0EC95" w14:textId="77777777" w:rsidR="007310BD" w:rsidRPr="0023147B" w:rsidRDefault="007310BD" w:rsidP="007310BD">
            <w:pPr>
              <w:jc w:val="center"/>
              <w:rPr>
                <w:rFonts w:asciiTheme="minorHAnsi" w:hAnsiTheme="minorHAnsi" w:cs="Arial"/>
                <w:b/>
                <w:bCs/>
                <w:color w:val="000000"/>
                <w:sz w:val="20"/>
                <w:lang w:val="en-GB"/>
              </w:rPr>
            </w:pPr>
            <w:r w:rsidRPr="0023147B">
              <w:rPr>
                <w:rFonts w:asciiTheme="minorHAnsi" w:hAnsiTheme="minorHAnsi" w:cs="Arial"/>
                <w:b/>
                <w:bCs/>
                <w:color w:val="000000"/>
                <w:sz w:val="20"/>
                <w:lang w:val="en-GB"/>
              </w:rPr>
              <w:t>2014/15</w:t>
            </w:r>
          </w:p>
        </w:tc>
        <w:tc>
          <w:tcPr>
            <w:tcW w:w="1300" w:type="dxa"/>
            <w:tcBorders>
              <w:top w:val="nil"/>
              <w:left w:val="nil"/>
              <w:bottom w:val="single" w:sz="8" w:space="0" w:color="auto"/>
              <w:right w:val="single" w:sz="8" w:space="0" w:color="auto"/>
            </w:tcBorders>
            <w:shd w:val="clear" w:color="000000" w:fill="D9D9D9"/>
            <w:vAlign w:val="center"/>
            <w:hideMark/>
          </w:tcPr>
          <w:p w14:paraId="0BA113A2" w14:textId="77777777" w:rsidR="007310BD" w:rsidRPr="0023147B" w:rsidRDefault="007310BD" w:rsidP="007310BD">
            <w:pPr>
              <w:jc w:val="center"/>
              <w:rPr>
                <w:rFonts w:asciiTheme="minorHAnsi" w:hAnsiTheme="minorHAnsi" w:cs="Arial"/>
                <w:b/>
                <w:bCs/>
                <w:color w:val="000000"/>
                <w:sz w:val="20"/>
                <w:lang w:val="en-GB"/>
              </w:rPr>
            </w:pPr>
            <w:r w:rsidRPr="0023147B">
              <w:rPr>
                <w:rFonts w:asciiTheme="minorHAnsi" w:hAnsiTheme="minorHAnsi" w:cs="Arial"/>
                <w:b/>
                <w:bCs/>
                <w:color w:val="000000"/>
                <w:sz w:val="20"/>
                <w:lang w:val="en-GB"/>
              </w:rPr>
              <w:t>2015/16</w:t>
            </w:r>
          </w:p>
        </w:tc>
        <w:tc>
          <w:tcPr>
            <w:tcW w:w="1300" w:type="dxa"/>
            <w:tcBorders>
              <w:top w:val="nil"/>
              <w:left w:val="nil"/>
              <w:bottom w:val="single" w:sz="8" w:space="0" w:color="auto"/>
              <w:right w:val="single" w:sz="8" w:space="0" w:color="auto"/>
            </w:tcBorders>
            <w:shd w:val="clear" w:color="000000" w:fill="D9D9D9"/>
            <w:vAlign w:val="center"/>
            <w:hideMark/>
          </w:tcPr>
          <w:p w14:paraId="3D7AD8F0" w14:textId="77777777" w:rsidR="007310BD" w:rsidRPr="0023147B" w:rsidRDefault="007310BD" w:rsidP="007310BD">
            <w:pPr>
              <w:jc w:val="center"/>
              <w:rPr>
                <w:rFonts w:asciiTheme="minorHAnsi" w:hAnsiTheme="minorHAnsi" w:cs="Arial"/>
                <w:b/>
                <w:bCs/>
                <w:color w:val="000000"/>
                <w:sz w:val="20"/>
                <w:lang w:val="en-GB"/>
              </w:rPr>
            </w:pPr>
            <w:r w:rsidRPr="0023147B">
              <w:rPr>
                <w:rFonts w:asciiTheme="minorHAnsi" w:hAnsiTheme="minorHAnsi" w:cs="Arial"/>
                <w:b/>
                <w:bCs/>
                <w:color w:val="000000"/>
                <w:sz w:val="20"/>
                <w:lang w:val="en-GB"/>
              </w:rPr>
              <w:t>2016/17</w:t>
            </w:r>
          </w:p>
        </w:tc>
        <w:tc>
          <w:tcPr>
            <w:tcW w:w="1300" w:type="dxa"/>
            <w:tcBorders>
              <w:top w:val="nil"/>
              <w:left w:val="nil"/>
              <w:bottom w:val="single" w:sz="8" w:space="0" w:color="auto"/>
              <w:right w:val="nil"/>
            </w:tcBorders>
            <w:shd w:val="clear" w:color="000000" w:fill="D9D9D9"/>
            <w:vAlign w:val="center"/>
            <w:hideMark/>
          </w:tcPr>
          <w:p w14:paraId="2CE133AC" w14:textId="77777777" w:rsidR="007310BD" w:rsidRPr="0023147B" w:rsidRDefault="007310BD" w:rsidP="007310BD">
            <w:pPr>
              <w:jc w:val="center"/>
              <w:rPr>
                <w:rFonts w:asciiTheme="minorHAnsi" w:hAnsiTheme="minorHAnsi" w:cs="Arial"/>
                <w:b/>
                <w:bCs/>
                <w:color w:val="000000"/>
                <w:sz w:val="20"/>
                <w:lang w:val="en-GB"/>
              </w:rPr>
            </w:pPr>
            <w:r w:rsidRPr="0023147B">
              <w:rPr>
                <w:rFonts w:asciiTheme="minorHAnsi" w:hAnsiTheme="minorHAnsi" w:cs="Arial"/>
                <w:b/>
                <w:bCs/>
                <w:color w:val="000000"/>
                <w:sz w:val="20"/>
                <w:lang w:val="en-GB"/>
              </w:rPr>
              <w:t>2017/18</w:t>
            </w:r>
          </w:p>
        </w:tc>
      </w:tr>
      <w:tr w:rsidR="007310BD" w:rsidRPr="007310BD" w14:paraId="2000D0E6" w14:textId="77777777" w:rsidTr="0023147B">
        <w:trPr>
          <w:trHeight w:val="300"/>
        </w:trPr>
        <w:tc>
          <w:tcPr>
            <w:tcW w:w="2800" w:type="dxa"/>
            <w:tcBorders>
              <w:top w:val="nil"/>
              <w:left w:val="nil"/>
              <w:bottom w:val="nil"/>
              <w:right w:val="nil"/>
            </w:tcBorders>
            <w:shd w:val="clear" w:color="auto" w:fill="auto"/>
            <w:noWrap/>
            <w:vAlign w:val="bottom"/>
            <w:hideMark/>
          </w:tcPr>
          <w:p w14:paraId="40762B88" w14:textId="0721EA5C" w:rsidR="007310BD" w:rsidRPr="0023147B" w:rsidRDefault="007310BD" w:rsidP="007310BD">
            <w:pPr>
              <w:jc w:val="left"/>
              <w:rPr>
                <w:rFonts w:asciiTheme="minorHAnsi" w:hAnsiTheme="minorHAnsi"/>
                <w:color w:val="000000"/>
                <w:sz w:val="20"/>
                <w:lang w:val="en-GB"/>
              </w:rPr>
            </w:pPr>
            <w:r w:rsidRPr="0023147B">
              <w:rPr>
                <w:rFonts w:asciiTheme="minorHAnsi" w:hAnsiTheme="minorHAnsi"/>
                <w:color w:val="000000"/>
                <w:sz w:val="20"/>
                <w:lang w:val="en-GB"/>
              </w:rPr>
              <w:t>% Change in Rev</w:t>
            </w:r>
            <w:r>
              <w:rPr>
                <w:rFonts w:asciiTheme="minorHAnsi" w:hAnsiTheme="minorHAnsi"/>
                <w:color w:val="000000"/>
                <w:sz w:val="20"/>
                <w:lang w:val="en-GB"/>
              </w:rPr>
              <w:t>enue</w:t>
            </w:r>
          </w:p>
        </w:tc>
        <w:tc>
          <w:tcPr>
            <w:tcW w:w="1300" w:type="dxa"/>
            <w:tcBorders>
              <w:top w:val="nil"/>
              <w:left w:val="nil"/>
              <w:right w:val="nil"/>
            </w:tcBorders>
            <w:shd w:val="clear" w:color="auto" w:fill="auto"/>
            <w:noWrap/>
            <w:vAlign w:val="bottom"/>
            <w:hideMark/>
          </w:tcPr>
          <w:p w14:paraId="1070D6F4" w14:textId="770985F6" w:rsidR="007310BD" w:rsidRPr="0023147B" w:rsidRDefault="007310BD" w:rsidP="007310BD">
            <w:pPr>
              <w:jc w:val="right"/>
              <w:rPr>
                <w:rFonts w:asciiTheme="minorHAnsi" w:hAnsiTheme="minorHAnsi"/>
                <w:color w:val="000000"/>
                <w:sz w:val="20"/>
                <w:lang w:val="en-GB"/>
              </w:rPr>
            </w:pPr>
            <w:r w:rsidRPr="0023147B">
              <w:rPr>
                <w:rFonts w:asciiTheme="minorHAnsi" w:hAnsiTheme="minorHAnsi"/>
                <w:color w:val="000000"/>
                <w:sz w:val="20"/>
                <w:lang w:val="en-GB"/>
              </w:rPr>
              <w:t>2.28</w:t>
            </w:r>
            <w:r w:rsidR="00D7406D">
              <w:rPr>
                <w:rFonts w:asciiTheme="minorHAnsi" w:hAnsiTheme="minorHAnsi"/>
                <w:color w:val="000000"/>
                <w:sz w:val="20"/>
                <w:lang w:val="en-GB"/>
              </w:rPr>
              <w:t>%</w:t>
            </w:r>
          </w:p>
        </w:tc>
        <w:tc>
          <w:tcPr>
            <w:tcW w:w="1300" w:type="dxa"/>
            <w:tcBorders>
              <w:top w:val="nil"/>
              <w:left w:val="nil"/>
              <w:right w:val="nil"/>
            </w:tcBorders>
            <w:shd w:val="clear" w:color="auto" w:fill="auto"/>
            <w:noWrap/>
            <w:vAlign w:val="bottom"/>
            <w:hideMark/>
          </w:tcPr>
          <w:p w14:paraId="53F2FA3F" w14:textId="43651BEA" w:rsidR="007310BD" w:rsidRPr="0023147B" w:rsidRDefault="007310BD" w:rsidP="007310BD">
            <w:pPr>
              <w:jc w:val="right"/>
              <w:rPr>
                <w:rFonts w:asciiTheme="minorHAnsi" w:hAnsiTheme="minorHAnsi"/>
                <w:color w:val="000000"/>
                <w:sz w:val="20"/>
                <w:lang w:val="en-GB"/>
              </w:rPr>
            </w:pPr>
            <w:r w:rsidRPr="0023147B">
              <w:rPr>
                <w:rFonts w:asciiTheme="minorHAnsi" w:hAnsiTheme="minorHAnsi"/>
                <w:color w:val="000000"/>
                <w:sz w:val="20"/>
                <w:lang w:val="en-GB"/>
              </w:rPr>
              <w:t>8.64</w:t>
            </w:r>
            <w:r w:rsidR="00D7406D">
              <w:rPr>
                <w:rFonts w:asciiTheme="minorHAnsi" w:hAnsiTheme="minorHAnsi"/>
                <w:color w:val="000000"/>
                <w:sz w:val="20"/>
                <w:lang w:val="en-GB"/>
              </w:rPr>
              <w:t>%</w:t>
            </w:r>
          </w:p>
        </w:tc>
        <w:tc>
          <w:tcPr>
            <w:tcW w:w="1300" w:type="dxa"/>
            <w:tcBorders>
              <w:top w:val="nil"/>
              <w:left w:val="nil"/>
              <w:right w:val="nil"/>
            </w:tcBorders>
            <w:shd w:val="clear" w:color="auto" w:fill="auto"/>
            <w:noWrap/>
            <w:vAlign w:val="bottom"/>
            <w:hideMark/>
          </w:tcPr>
          <w:p w14:paraId="2B773827" w14:textId="18ECA911" w:rsidR="007310BD" w:rsidRPr="0023147B" w:rsidRDefault="007310BD" w:rsidP="007310BD">
            <w:pPr>
              <w:jc w:val="right"/>
              <w:rPr>
                <w:rFonts w:asciiTheme="minorHAnsi" w:hAnsiTheme="minorHAnsi"/>
                <w:color w:val="000000"/>
                <w:sz w:val="20"/>
                <w:lang w:val="en-GB"/>
              </w:rPr>
            </w:pPr>
            <w:r w:rsidRPr="0023147B">
              <w:rPr>
                <w:rFonts w:asciiTheme="minorHAnsi" w:hAnsiTheme="minorHAnsi"/>
                <w:color w:val="000000"/>
                <w:sz w:val="20"/>
                <w:lang w:val="en-GB"/>
              </w:rPr>
              <w:t>11.92</w:t>
            </w:r>
            <w:r w:rsidR="00D7406D">
              <w:rPr>
                <w:rFonts w:asciiTheme="minorHAnsi" w:hAnsiTheme="minorHAnsi"/>
                <w:color w:val="000000"/>
                <w:sz w:val="20"/>
                <w:lang w:val="en-GB"/>
              </w:rPr>
              <w:t>%</w:t>
            </w:r>
          </w:p>
        </w:tc>
        <w:tc>
          <w:tcPr>
            <w:tcW w:w="1300" w:type="dxa"/>
            <w:tcBorders>
              <w:top w:val="nil"/>
              <w:left w:val="nil"/>
              <w:right w:val="nil"/>
            </w:tcBorders>
            <w:shd w:val="clear" w:color="auto" w:fill="auto"/>
            <w:noWrap/>
            <w:vAlign w:val="bottom"/>
            <w:hideMark/>
          </w:tcPr>
          <w:p w14:paraId="17B1EDE9" w14:textId="4A1EA879" w:rsidR="007310BD" w:rsidRPr="0023147B" w:rsidRDefault="007310BD" w:rsidP="007310BD">
            <w:pPr>
              <w:jc w:val="right"/>
              <w:rPr>
                <w:rFonts w:asciiTheme="minorHAnsi" w:hAnsiTheme="minorHAnsi"/>
                <w:color w:val="000000"/>
                <w:sz w:val="20"/>
                <w:lang w:val="en-GB"/>
              </w:rPr>
            </w:pPr>
            <w:r w:rsidRPr="0023147B">
              <w:rPr>
                <w:rFonts w:asciiTheme="minorHAnsi" w:hAnsiTheme="minorHAnsi"/>
                <w:color w:val="000000"/>
                <w:sz w:val="20"/>
                <w:lang w:val="en-GB"/>
              </w:rPr>
              <w:t>4.87</w:t>
            </w:r>
            <w:r w:rsidR="00D7406D">
              <w:rPr>
                <w:rFonts w:asciiTheme="minorHAnsi" w:hAnsiTheme="minorHAnsi"/>
                <w:color w:val="000000"/>
                <w:sz w:val="20"/>
                <w:lang w:val="en-GB"/>
              </w:rPr>
              <w:t>%</w:t>
            </w:r>
          </w:p>
        </w:tc>
      </w:tr>
      <w:tr w:rsidR="007310BD" w:rsidRPr="007310BD" w14:paraId="1BAB4F69" w14:textId="77777777" w:rsidTr="0023147B">
        <w:trPr>
          <w:trHeight w:val="300"/>
        </w:trPr>
        <w:tc>
          <w:tcPr>
            <w:tcW w:w="2800" w:type="dxa"/>
            <w:tcBorders>
              <w:top w:val="nil"/>
              <w:left w:val="nil"/>
              <w:bottom w:val="nil"/>
              <w:right w:val="nil"/>
            </w:tcBorders>
            <w:shd w:val="clear" w:color="auto" w:fill="auto"/>
            <w:noWrap/>
            <w:vAlign w:val="bottom"/>
            <w:hideMark/>
          </w:tcPr>
          <w:p w14:paraId="5A5AC572" w14:textId="0CB46BDB" w:rsidR="007310BD" w:rsidRPr="0023147B" w:rsidRDefault="007310BD" w:rsidP="007310BD">
            <w:pPr>
              <w:jc w:val="left"/>
              <w:rPr>
                <w:rFonts w:asciiTheme="minorHAnsi" w:hAnsiTheme="minorHAnsi"/>
                <w:color w:val="000000"/>
                <w:sz w:val="20"/>
                <w:lang w:val="en-GB"/>
              </w:rPr>
            </w:pPr>
            <w:r w:rsidRPr="0023147B">
              <w:rPr>
                <w:rFonts w:asciiTheme="minorHAnsi" w:hAnsiTheme="minorHAnsi"/>
                <w:color w:val="000000"/>
                <w:sz w:val="20"/>
                <w:lang w:val="en-GB"/>
              </w:rPr>
              <w:t>% Change in NOP</w:t>
            </w:r>
            <w:r w:rsidR="00271903">
              <w:rPr>
                <w:rFonts w:asciiTheme="minorHAnsi" w:hAnsiTheme="minorHAnsi"/>
                <w:color w:val="000000"/>
                <w:sz w:val="20"/>
                <w:lang w:val="en-GB"/>
              </w:rPr>
              <w:t>A</w:t>
            </w:r>
            <w:r w:rsidRPr="0023147B">
              <w:rPr>
                <w:rFonts w:asciiTheme="minorHAnsi" w:hAnsiTheme="minorHAnsi"/>
                <w:color w:val="000000"/>
                <w:sz w:val="20"/>
                <w:lang w:val="en-GB"/>
              </w:rPr>
              <w:t>T</w:t>
            </w:r>
          </w:p>
        </w:tc>
        <w:tc>
          <w:tcPr>
            <w:tcW w:w="1300" w:type="dxa"/>
            <w:tcBorders>
              <w:top w:val="nil"/>
              <w:left w:val="nil"/>
              <w:bottom w:val="nil"/>
              <w:right w:val="nil"/>
            </w:tcBorders>
            <w:shd w:val="clear" w:color="000000" w:fill="auto"/>
            <w:noWrap/>
            <w:vAlign w:val="bottom"/>
            <w:hideMark/>
          </w:tcPr>
          <w:p w14:paraId="6755819A" w14:textId="39865BFD" w:rsidR="007310BD" w:rsidRPr="0023147B" w:rsidRDefault="007310BD" w:rsidP="007310BD">
            <w:pPr>
              <w:jc w:val="right"/>
              <w:rPr>
                <w:rFonts w:asciiTheme="minorHAnsi" w:hAnsiTheme="minorHAnsi"/>
                <w:color w:val="000000"/>
                <w:sz w:val="20"/>
                <w:lang w:val="en-GB"/>
              </w:rPr>
            </w:pPr>
            <w:r w:rsidRPr="0023147B">
              <w:rPr>
                <w:rFonts w:asciiTheme="minorHAnsi" w:hAnsiTheme="minorHAnsi"/>
                <w:color w:val="000000"/>
                <w:sz w:val="20"/>
                <w:lang w:val="en-GB"/>
              </w:rPr>
              <w:t>-29.76</w:t>
            </w:r>
            <w:r w:rsidR="00126B41">
              <w:rPr>
                <w:rFonts w:asciiTheme="minorHAnsi" w:hAnsiTheme="minorHAnsi"/>
                <w:color w:val="000000"/>
                <w:sz w:val="20"/>
                <w:lang w:val="en-GB"/>
              </w:rPr>
              <w:t>%</w:t>
            </w:r>
          </w:p>
        </w:tc>
        <w:tc>
          <w:tcPr>
            <w:tcW w:w="1300" w:type="dxa"/>
            <w:tcBorders>
              <w:top w:val="nil"/>
              <w:left w:val="nil"/>
              <w:bottom w:val="nil"/>
              <w:right w:val="nil"/>
            </w:tcBorders>
            <w:shd w:val="clear" w:color="000000" w:fill="auto"/>
            <w:noWrap/>
            <w:vAlign w:val="bottom"/>
            <w:hideMark/>
          </w:tcPr>
          <w:p w14:paraId="5659CCF5" w14:textId="7283D42C" w:rsidR="007310BD" w:rsidRPr="0023147B" w:rsidRDefault="007310BD" w:rsidP="007310BD">
            <w:pPr>
              <w:jc w:val="right"/>
              <w:rPr>
                <w:rFonts w:asciiTheme="minorHAnsi" w:hAnsiTheme="minorHAnsi"/>
                <w:color w:val="000000"/>
                <w:sz w:val="20"/>
                <w:lang w:val="en-GB"/>
              </w:rPr>
            </w:pPr>
            <w:r w:rsidRPr="0023147B">
              <w:rPr>
                <w:rFonts w:asciiTheme="minorHAnsi" w:hAnsiTheme="minorHAnsi"/>
                <w:color w:val="000000"/>
                <w:sz w:val="20"/>
                <w:lang w:val="en-GB"/>
              </w:rPr>
              <w:t>-1.24</w:t>
            </w:r>
            <w:r w:rsidR="00126B41">
              <w:rPr>
                <w:rFonts w:asciiTheme="minorHAnsi" w:hAnsiTheme="minorHAnsi"/>
                <w:color w:val="000000"/>
                <w:sz w:val="20"/>
                <w:lang w:val="en-GB"/>
              </w:rPr>
              <w:t>%</w:t>
            </w:r>
          </w:p>
        </w:tc>
        <w:tc>
          <w:tcPr>
            <w:tcW w:w="1300" w:type="dxa"/>
            <w:tcBorders>
              <w:top w:val="nil"/>
              <w:left w:val="nil"/>
              <w:bottom w:val="nil"/>
              <w:right w:val="nil"/>
            </w:tcBorders>
            <w:shd w:val="clear" w:color="000000" w:fill="auto"/>
            <w:noWrap/>
            <w:vAlign w:val="bottom"/>
            <w:hideMark/>
          </w:tcPr>
          <w:p w14:paraId="4E18AEF1" w14:textId="466F7EF7" w:rsidR="007310BD" w:rsidRPr="0023147B" w:rsidRDefault="007310BD" w:rsidP="007310BD">
            <w:pPr>
              <w:jc w:val="right"/>
              <w:rPr>
                <w:rFonts w:asciiTheme="minorHAnsi" w:hAnsiTheme="minorHAnsi"/>
                <w:color w:val="000000"/>
                <w:sz w:val="20"/>
                <w:lang w:val="en-GB"/>
              </w:rPr>
            </w:pPr>
            <w:r w:rsidRPr="0023147B">
              <w:rPr>
                <w:rFonts w:asciiTheme="minorHAnsi" w:hAnsiTheme="minorHAnsi"/>
                <w:color w:val="000000"/>
                <w:sz w:val="20"/>
                <w:lang w:val="en-GB"/>
              </w:rPr>
              <w:t>3.79</w:t>
            </w:r>
            <w:r w:rsidR="00126B41">
              <w:rPr>
                <w:rFonts w:asciiTheme="minorHAnsi" w:hAnsiTheme="minorHAnsi"/>
                <w:color w:val="000000"/>
                <w:sz w:val="20"/>
                <w:lang w:val="en-GB"/>
              </w:rPr>
              <w:t>%</w:t>
            </w:r>
          </w:p>
        </w:tc>
        <w:tc>
          <w:tcPr>
            <w:tcW w:w="1300" w:type="dxa"/>
            <w:tcBorders>
              <w:top w:val="nil"/>
              <w:left w:val="nil"/>
              <w:bottom w:val="nil"/>
              <w:right w:val="nil"/>
            </w:tcBorders>
            <w:shd w:val="clear" w:color="000000" w:fill="auto"/>
            <w:noWrap/>
            <w:vAlign w:val="bottom"/>
            <w:hideMark/>
          </w:tcPr>
          <w:p w14:paraId="23FC2886" w14:textId="3E66A19F" w:rsidR="007310BD" w:rsidRPr="0023147B" w:rsidRDefault="007310BD" w:rsidP="007310BD">
            <w:pPr>
              <w:jc w:val="right"/>
              <w:rPr>
                <w:rFonts w:asciiTheme="minorHAnsi" w:hAnsiTheme="minorHAnsi"/>
                <w:color w:val="000000"/>
                <w:sz w:val="20"/>
                <w:lang w:val="en-GB"/>
              </w:rPr>
            </w:pPr>
            <w:r w:rsidRPr="0023147B">
              <w:rPr>
                <w:rFonts w:asciiTheme="minorHAnsi" w:hAnsiTheme="minorHAnsi"/>
                <w:color w:val="000000"/>
                <w:sz w:val="20"/>
                <w:lang w:val="en-GB"/>
              </w:rPr>
              <w:t>66.94</w:t>
            </w:r>
            <w:r w:rsidR="00126B41">
              <w:rPr>
                <w:rFonts w:asciiTheme="minorHAnsi" w:hAnsiTheme="minorHAnsi"/>
                <w:color w:val="000000"/>
                <w:sz w:val="20"/>
                <w:lang w:val="en-GB"/>
              </w:rPr>
              <w:t>%</w:t>
            </w:r>
          </w:p>
        </w:tc>
      </w:tr>
    </w:tbl>
    <w:p w14:paraId="209CF6DB" w14:textId="77777777" w:rsidR="007310BD" w:rsidRDefault="007310BD" w:rsidP="0023147B">
      <w:pPr>
        <w:rPr>
          <w:rFonts w:asciiTheme="minorHAnsi" w:hAnsiTheme="minorHAnsi"/>
          <w:lang w:val="en-GB"/>
        </w:rPr>
      </w:pPr>
    </w:p>
    <w:p w14:paraId="169897F0" w14:textId="67BDF80A" w:rsidR="00D7406D" w:rsidRDefault="005C613E" w:rsidP="006A4FFD">
      <w:pPr>
        <w:ind w:firstLine="720"/>
        <w:rPr>
          <w:rFonts w:asciiTheme="minorHAnsi" w:hAnsiTheme="minorHAnsi" w:cs="Arial"/>
          <w:bCs/>
          <w:i/>
          <w:color w:val="000000"/>
          <w:sz w:val="20"/>
        </w:rPr>
      </w:pPr>
      <w:r>
        <w:rPr>
          <w:rFonts w:asciiTheme="minorHAnsi" w:hAnsiTheme="minorHAnsi" w:cs="Arial"/>
          <w:bCs/>
          <w:i/>
          <w:color w:val="000000"/>
          <w:sz w:val="20"/>
        </w:rPr>
        <w:t>Source: OK Bazaars</w:t>
      </w:r>
      <w:r w:rsidRPr="00D8583C">
        <w:rPr>
          <w:rFonts w:asciiTheme="minorHAnsi" w:hAnsiTheme="minorHAnsi" w:cs="Arial"/>
          <w:bCs/>
          <w:i/>
          <w:color w:val="000000"/>
          <w:sz w:val="20"/>
        </w:rPr>
        <w:t xml:space="preserve"> AFS Various Years</w:t>
      </w:r>
    </w:p>
    <w:p w14:paraId="7DE181CE" w14:textId="77777777" w:rsidR="005C613E" w:rsidRPr="005C613E" w:rsidRDefault="005C613E" w:rsidP="006A4FFD">
      <w:pPr>
        <w:ind w:firstLine="720"/>
        <w:rPr>
          <w:rFonts w:asciiTheme="minorHAnsi" w:hAnsiTheme="minorHAnsi"/>
          <w:lang w:val="en-GB"/>
        </w:rPr>
      </w:pPr>
    </w:p>
    <w:p w14:paraId="76C49AC6" w14:textId="77777777" w:rsidR="00D7406D" w:rsidRDefault="00D7406D" w:rsidP="00D7406D">
      <w:pPr>
        <w:pStyle w:val="ListParagraph"/>
        <w:ind w:left="567" w:hanging="567"/>
        <w:rPr>
          <w:rFonts w:asciiTheme="minorHAnsi" w:hAnsiTheme="minorHAnsi"/>
          <w:lang w:val="en-GB"/>
        </w:rPr>
      </w:pPr>
      <w:r w:rsidRPr="00D25BE7">
        <w:rPr>
          <w:rFonts w:asciiTheme="minorHAnsi" w:hAnsiTheme="minorHAnsi"/>
          <w:lang w:val="en-GB"/>
        </w:rPr>
        <w:t>Ok Bazaars had an unqualified audit report.</w:t>
      </w:r>
    </w:p>
    <w:p w14:paraId="55966F4C" w14:textId="77777777" w:rsidR="007310BD" w:rsidRPr="0023147B" w:rsidRDefault="007310BD" w:rsidP="0023147B">
      <w:pPr>
        <w:rPr>
          <w:rFonts w:asciiTheme="minorHAnsi" w:hAnsiTheme="minorHAnsi"/>
          <w:lang w:val="en-GB"/>
        </w:rPr>
      </w:pPr>
    </w:p>
    <w:p w14:paraId="0C22379D" w14:textId="3CB11C3F" w:rsidR="005062A9" w:rsidRPr="005D564C" w:rsidRDefault="00660A72" w:rsidP="00E04DF0">
      <w:pPr>
        <w:pStyle w:val="ListParagraph"/>
        <w:ind w:left="567" w:hanging="567"/>
        <w:rPr>
          <w:rFonts w:asciiTheme="minorHAnsi" w:hAnsiTheme="minorHAnsi"/>
          <w:szCs w:val="22"/>
          <w:lang w:val="en-GB"/>
        </w:rPr>
      </w:pPr>
      <w:r w:rsidRPr="006A4FFD">
        <w:rPr>
          <w:rFonts w:asciiTheme="minorHAnsi" w:hAnsiTheme="minorHAnsi"/>
          <w:b/>
          <w:sz w:val="24"/>
          <w:szCs w:val="24"/>
          <w:lang w:val="en-GB"/>
        </w:rPr>
        <w:t xml:space="preserve">MHG Lesotho </w:t>
      </w:r>
      <w:r w:rsidR="005062A9" w:rsidRPr="006A4FFD">
        <w:rPr>
          <w:rFonts w:asciiTheme="minorHAnsi" w:hAnsiTheme="minorHAnsi"/>
          <w:b/>
          <w:sz w:val="24"/>
          <w:szCs w:val="24"/>
          <w:lang w:val="en-GB"/>
        </w:rPr>
        <w:t>(Pty) Ltd</w:t>
      </w:r>
      <w:r w:rsidRPr="006A4FFD">
        <w:rPr>
          <w:rFonts w:asciiTheme="minorHAnsi" w:hAnsiTheme="minorHAnsi"/>
          <w:b/>
          <w:sz w:val="24"/>
          <w:szCs w:val="24"/>
          <w:lang w:val="en-GB"/>
        </w:rPr>
        <w:t xml:space="preserve"> t/a (</w:t>
      </w:r>
      <w:proofErr w:type="spellStart"/>
      <w:r w:rsidRPr="006A4FFD">
        <w:rPr>
          <w:rFonts w:asciiTheme="minorHAnsi" w:hAnsiTheme="minorHAnsi"/>
          <w:b/>
          <w:sz w:val="24"/>
          <w:szCs w:val="24"/>
          <w:lang w:val="en-GB"/>
        </w:rPr>
        <w:t>Avani</w:t>
      </w:r>
      <w:proofErr w:type="spellEnd"/>
      <w:r w:rsidRPr="006A4FFD">
        <w:rPr>
          <w:rFonts w:asciiTheme="minorHAnsi" w:hAnsiTheme="minorHAnsi"/>
          <w:b/>
          <w:sz w:val="24"/>
          <w:szCs w:val="24"/>
          <w:lang w:val="en-GB"/>
        </w:rPr>
        <w:t>)</w:t>
      </w:r>
      <w:r w:rsidR="005062A9" w:rsidRPr="00D25BE7">
        <w:rPr>
          <w:rFonts w:asciiTheme="minorHAnsi" w:hAnsiTheme="minorHAnsi"/>
          <w:b/>
          <w:lang w:val="en-GB"/>
        </w:rPr>
        <w:t>:</w:t>
      </w:r>
      <w:r w:rsidR="005062A9" w:rsidRPr="00D25BE7">
        <w:rPr>
          <w:rFonts w:asciiTheme="minorHAnsi" w:hAnsiTheme="minorHAnsi"/>
          <w:lang w:val="en-GB"/>
        </w:rPr>
        <w:t xml:space="preserve"> </w:t>
      </w:r>
      <w:r w:rsidR="003660BA" w:rsidRPr="003660BA">
        <w:rPr>
          <w:rFonts w:asciiTheme="minorHAnsi" w:hAnsiTheme="minorHAnsi"/>
          <w:lang w:val="en-GB"/>
        </w:rPr>
        <w:t xml:space="preserve">MHG </w:t>
      </w:r>
      <w:r w:rsidR="003660BA" w:rsidRPr="0023147B">
        <w:rPr>
          <w:rFonts w:asciiTheme="minorHAnsi" w:hAnsiTheme="minorHAnsi" w:cs="Arial"/>
          <w:color w:val="000000"/>
          <w:szCs w:val="22"/>
          <w:lang w:val="en-GB"/>
        </w:rPr>
        <w:t xml:space="preserve">is a hotel company trading under the </w:t>
      </w:r>
      <w:proofErr w:type="spellStart"/>
      <w:r w:rsidR="003660BA" w:rsidRPr="0023147B">
        <w:rPr>
          <w:rFonts w:asciiTheme="minorHAnsi" w:hAnsiTheme="minorHAnsi" w:cs="Arial"/>
          <w:color w:val="000000"/>
          <w:szCs w:val="22"/>
          <w:lang w:val="en-GB"/>
        </w:rPr>
        <w:t>Avani</w:t>
      </w:r>
      <w:proofErr w:type="spellEnd"/>
      <w:r w:rsidR="003660BA" w:rsidRPr="0023147B">
        <w:rPr>
          <w:rFonts w:asciiTheme="minorHAnsi" w:hAnsiTheme="minorHAnsi" w:cs="Arial"/>
          <w:color w:val="000000"/>
          <w:szCs w:val="22"/>
          <w:lang w:val="en-GB"/>
        </w:rPr>
        <w:t xml:space="preserve"> brand. It has 2 hotels in Maseru each with a casino. MHG is controlled by GoL with 53.1% ownership (split 36.4% GoL and </w:t>
      </w:r>
      <w:r w:rsidR="003660BA" w:rsidRPr="00E04DF0">
        <w:rPr>
          <w:rFonts w:asciiTheme="minorHAnsi" w:hAnsiTheme="minorHAnsi" w:cs="Arial"/>
          <w:color w:val="000000"/>
          <w:szCs w:val="22"/>
          <w:lang w:val="en-GB"/>
        </w:rPr>
        <w:t xml:space="preserve">LNDC with 16.7%). </w:t>
      </w:r>
      <w:r w:rsidR="00B53BF3" w:rsidRPr="00E04DF0">
        <w:rPr>
          <w:rFonts w:asciiTheme="minorHAnsi" w:hAnsiTheme="minorHAnsi"/>
          <w:szCs w:val="22"/>
          <w:lang w:val="en-GB"/>
        </w:rPr>
        <w:t xml:space="preserve">while MHG </w:t>
      </w:r>
      <w:r w:rsidR="0095711F" w:rsidRPr="00E04DF0">
        <w:rPr>
          <w:rFonts w:asciiTheme="minorHAnsi" w:hAnsiTheme="minorHAnsi"/>
          <w:szCs w:val="22"/>
          <w:lang w:val="en-GB"/>
        </w:rPr>
        <w:t>International Holding (Mauritius)</w:t>
      </w:r>
      <w:r w:rsidR="00B53BF3" w:rsidRPr="00E04DF0">
        <w:rPr>
          <w:rFonts w:asciiTheme="minorHAnsi" w:hAnsiTheme="minorHAnsi"/>
          <w:szCs w:val="22"/>
          <w:lang w:val="en-GB"/>
        </w:rPr>
        <w:t xml:space="preserve"> ha</w:t>
      </w:r>
      <w:r w:rsidR="002C32BC" w:rsidRPr="00E04DF0">
        <w:rPr>
          <w:rFonts w:asciiTheme="minorHAnsi" w:hAnsiTheme="minorHAnsi"/>
          <w:szCs w:val="22"/>
          <w:lang w:val="en-GB"/>
        </w:rPr>
        <w:t>s</w:t>
      </w:r>
      <w:r w:rsidR="0095711F" w:rsidRPr="00637BA6">
        <w:rPr>
          <w:rFonts w:asciiTheme="minorHAnsi" w:hAnsiTheme="minorHAnsi"/>
          <w:szCs w:val="22"/>
          <w:lang w:val="en-GB"/>
        </w:rPr>
        <w:t xml:space="preserve"> </w:t>
      </w:r>
      <w:r w:rsidR="0063070B" w:rsidRPr="004C2CD5">
        <w:rPr>
          <w:rFonts w:asciiTheme="minorHAnsi" w:hAnsiTheme="minorHAnsi"/>
          <w:szCs w:val="22"/>
          <w:lang w:val="en-GB"/>
        </w:rPr>
        <w:t>46.9</w:t>
      </w:r>
      <w:r w:rsidR="00B53BF3" w:rsidRPr="00CC4FE3">
        <w:rPr>
          <w:rFonts w:asciiTheme="minorHAnsi" w:hAnsiTheme="minorHAnsi"/>
          <w:szCs w:val="22"/>
          <w:lang w:val="en-GB"/>
        </w:rPr>
        <w:t xml:space="preserve">% </w:t>
      </w:r>
      <w:r w:rsidR="0095711F" w:rsidRPr="00572065">
        <w:rPr>
          <w:rFonts w:asciiTheme="minorHAnsi" w:hAnsiTheme="minorHAnsi"/>
          <w:szCs w:val="22"/>
          <w:lang w:val="en-GB"/>
        </w:rPr>
        <w:t xml:space="preserve">of </w:t>
      </w:r>
      <w:r w:rsidR="00B53BF3" w:rsidRPr="00281D6A">
        <w:rPr>
          <w:rFonts w:asciiTheme="minorHAnsi" w:hAnsiTheme="minorHAnsi"/>
          <w:szCs w:val="22"/>
          <w:lang w:val="en-GB"/>
        </w:rPr>
        <w:t xml:space="preserve">shares. </w:t>
      </w:r>
      <w:r w:rsidR="005062A9" w:rsidRPr="00EA6527">
        <w:rPr>
          <w:rFonts w:asciiTheme="minorHAnsi" w:hAnsiTheme="minorHAnsi"/>
          <w:szCs w:val="22"/>
          <w:lang w:val="en-GB"/>
        </w:rPr>
        <w:t xml:space="preserve">  </w:t>
      </w:r>
      <w:r w:rsidR="00E04DF0" w:rsidRPr="00EF4763">
        <w:rPr>
          <w:rFonts w:asciiTheme="minorHAnsi" w:hAnsiTheme="minorHAnsi"/>
          <w:szCs w:val="22"/>
          <w:lang w:val="en-GB"/>
        </w:rPr>
        <w:t xml:space="preserve">MHG </w:t>
      </w:r>
      <w:proofErr w:type="spellStart"/>
      <w:r w:rsidR="00E04DF0" w:rsidRPr="00EF4763">
        <w:rPr>
          <w:rFonts w:asciiTheme="minorHAnsi" w:hAnsiTheme="minorHAnsi"/>
          <w:szCs w:val="22"/>
          <w:lang w:val="en-GB"/>
        </w:rPr>
        <w:t>Avani</w:t>
      </w:r>
      <w:proofErr w:type="spellEnd"/>
      <w:r w:rsidR="00E04DF0" w:rsidRPr="00EF4763">
        <w:rPr>
          <w:rFonts w:asciiTheme="minorHAnsi" w:hAnsiTheme="minorHAnsi"/>
          <w:szCs w:val="22"/>
          <w:lang w:val="en-GB"/>
        </w:rPr>
        <w:t xml:space="preserve"> had an unqualified audit report.</w:t>
      </w:r>
    </w:p>
    <w:p w14:paraId="09658FE3" w14:textId="745F916C" w:rsidR="005062A9" w:rsidRPr="005D564C" w:rsidRDefault="007B71D8" w:rsidP="005D564C">
      <w:pPr>
        <w:pStyle w:val="ListParagraph"/>
        <w:ind w:left="426" w:hanging="426"/>
        <w:rPr>
          <w:rFonts w:asciiTheme="minorHAnsi" w:hAnsiTheme="minorHAnsi"/>
          <w:b/>
          <w:color w:val="000000" w:themeColor="text1"/>
          <w:sz w:val="20"/>
          <w:lang w:val="en-GB"/>
        </w:rPr>
      </w:pPr>
      <w:r w:rsidRPr="00CF1757">
        <w:rPr>
          <w:rFonts w:asciiTheme="minorHAnsi" w:hAnsiTheme="minorHAnsi"/>
          <w:b/>
          <w:sz w:val="20"/>
          <w:lang w:val="en-GB"/>
        </w:rPr>
        <w:t xml:space="preserve">Figure </w:t>
      </w:r>
      <w:r w:rsidR="00DF496E" w:rsidRPr="00243C32">
        <w:rPr>
          <w:rFonts w:asciiTheme="minorHAnsi" w:hAnsiTheme="minorHAnsi"/>
          <w:b/>
          <w:color w:val="000000" w:themeColor="text1"/>
          <w:sz w:val="20"/>
          <w:lang w:val="en-GB"/>
        </w:rPr>
        <w:t>2</w:t>
      </w:r>
      <w:r w:rsidR="00243C32">
        <w:rPr>
          <w:rFonts w:asciiTheme="minorHAnsi" w:hAnsiTheme="minorHAnsi"/>
          <w:b/>
          <w:color w:val="000000" w:themeColor="text1"/>
          <w:sz w:val="20"/>
          <w:lang w:val="en-GB"/>
        </w:rPr>
        <w:t>2</w:t>
      </w:r>
      <w:r w:rsidR="00DF496E" w:rsidRPr="00243C32">
        <w:rPr>
          <w:rFonts w:asciiTheme="minorHAnsi" w:hAnsiTheme="minorHAnsi"/>
          <w:b/>
          <w:color w:val="000000" w:themeColor="text1"/>
          <w:sz w:val="20"/>
          <w:lang w:val="en-GB"/>
        </w:rPr>
        <w:t>: MHG Returns 2014/15 to 2017/18</w:t>
      </w:r>
    </w:p>
    <w:p w14:paraId="641D9865" w14:textId="17207C9C" w:rsidR="00BB7AFB" w:rsidRDefault="00BB7AFB" w:rsidP="005062A9">
      <w:pPr>
        <w:ind w:left="426"/>
        <w:rPr>
          <w:rFonts w:asciiTheme="minorHAnsi" w:hAnsiTheme="minorHAnsi"/>
          <w:color w:val="000000" w:themeColor="text1"/>
          <w:szCs w:val="22"/>
          <w:lang w:val="en-GB"/>
        </w:rPr>
      </w:pPr>
    </w:p>
    <w:p w14:paraId="5E6C429E" w14:textId="3C37B4A6" w:rsidR="00BB7AFB" w:rsidRDefault="00E1171A" w:rsidP="005062A9">
      <w:pPr>
        <w:ind w:left="426"/>
        <w:rPr>
          <w:rFonts w:asciiTheme="minorHAnsi" w:hAnsiTheme="minorHAnsi"/>
          <w:color w:val="000000" w:themeColor="text1"/>
          <w:szCs w:val="22"/>
          <w:lang w:val="en-GB"/>
        </w:rPr>
      </w:pPr>
      <w:r>
        <w:rPr>
          <w:noProof/>
        </w:rPr>
        <w:drawing>
          <wp:inline distT="0" distB="0" distL="0" distR="0" wp14:anchorId="401A1C32" wp14:editId="3251C096">
            <wp:extent cx="4274185" cy="2674620"/>
            <wp:effectExtent l="25400" t="25400" r="94615" b="9398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7A447EC3" w14:textId="76B9D7B3" w:rsidR="00BB7AFB" w:rsidRDefault="003D0ADA" w:rsidP="005062A9">
      <w:pPr>
        <w:ind w:left="426"/>
        <w:rPr>
          <w:rFonts w:asciiTheme="minorHAnsi" w:hAnsiTheme="minorHAnsi"/>
          <w:color w:val="000000" w:themeColor="text1"/>
          <w:szCs w:val="22"/>
          <w:lang w:val="en-GB"/>
        </w:rPr>
      </w:pPr>
      <w:r>
        <w:rPr>
          <w:rFonts w:asciiTheme="minorHAnsi" w:hAnsiTheme="minorHAnsi" w:cs="Arial"/>
          <w:bCs/>
          <w:i/>
          <w:color w:val="000000"/>
          <w:sz w:val="20"/>
        </w:rPr>
        <w:t>Source: MHG</w:t>
      </w:r>
      <w:r w:rsidRPr="00D8583C">
        <w:rPr>
          <w:rFonts w:asciiTheme="minorHAnsi" w:hAnsiTheme="minorHAnsi" w:cs="Arial"/>
          <w:bCs/>
          <w:i/>
          <w:color w:val="000000"/>
          <w:sz w:val="20"/>
        </w:rPr>
        <w:t xml:space="preserve"> AFS Various Years</w:t>
      </w:r>
    </w:p>
    <w:p w14:paraId="2CAB880C" w14:textId="77777777" w:rsidR="00273B3D" w:rsidRDefault="00273B3D" w:rsidP="005062A9">
      <w:pPr>
        <w:ind w:left="426"/>
        <w:rPr>
          <w:rFonts w:asciiTheme="minorHAnsi" w:hAnsiTheme="minorHAnsi"/>
          <w:color w:val="000000" w:themeColor="text1"/>
          <w:szCs w:val="22"/>
          <w:lang w:val="en-GB"/>
        </w:rPr>
      </w:pPr>
    </w:p>
    <w:p w14:paraId="7F9F0DA7" w14:textId="0EE40C2C" w:rsidR="00210920" w:rsidRPr="00713392" w:rsidRDefault="00273B3D" w:rsidP="00713392">
      <w:pPr>
        <w:pStyle w:val="ListParagraph"/>
        <w:ind w:left="426" w:hanging="426"/>
        <w:rPr>
          <w:rFonts w:asciiTheme="minorHAnsi" w:hAnsiTheme="minorHAnsi"/>
          <w:color w:val="000000" w:themeColor="text1"/>
          <w:szCs w:val="22"/>
          <w:lang w:val="en-GB"/>
        </w:rPr>
      </w:pPr>
      <w:r w:rsidRPr="00D25BE7">
        <w:rPr>
          <w:rFonts w:asciiTheme="minorHAnsi" w:hAnsiTheme="minorHAnsi"/>
          <w:lang w:val="en-GB"/>
        </w:rPr>
        <w:t xml:space="preserve">The performance trend for MHG </w:t>
      </w:r>
      <w:proofErr w:type="spellStart"/>
      <w:r w:rsidRPr="00D25BE7">
        <w:rPr>
          <w:rFonts w:asciiTheme="minorHAnsi" w:hAnsiTheme="minorHAnsi"/>
          <w:lang w:val="en-GB"/>
        </w:rPr>
        <w:t>Avani</w:t>
      </w:r>
      <w:proofErr w:type="spellEnd"/>
      <w:r w:rsidRPr="00D25BE7">
        <w:rPr>
          <w:rFonts w:asciiTheme="minorHAnsi" w:hAnsiTheme="minorHAnsi"/>
          <w:lang w:val="en-GB"/>
        </w:rPr>
        <w:t xml:space="preserve"> is mixed. Although recent years are profitable, the period to 2013/14 were loss-making. </w:t>
      </w:r>
      <w:r w:rsidR="00CF1757">
        <w:rPr>
          <w:rFonts w:asciiTheme="minorHAnsi" w:hAnsiTheme="minorHAnsi"/>
          <w:lang w:val="en-GB"/>
        </w:rPr>
        <w:t xml:space="preserve">The </w:t>
      </w:r>
      <w:r w:rsidR="002C32BC">
        <w:rPr>
          <w:rFonts w:asciiTheme="minorHAnsi" w:hAnsiTheme="minorHAnsi"/>
          <w:lang w:val="en-GB"/>
        </w:rPr>
        <w:t>2015/16 results relate to an 18</w:t>
      </w:r>
      <w:r w:rsidR="003D0ADA">
        <w:rPr>
          <w:rFonts w:asciiTheme="minorHAnsi" w:hAnsiTheme="minorHAnsi"/>
          <w:lang w:val="en-GB"/>
        </w:rPr>
        <w:t>-</w:t>
      </w:r>
      <w:r w:rsidR="002C32BC">
        <w:rPr>
          <w:rFonts w:asciiTheme="minorHAnsi" w:hAnsiTheme="minorHAnsi"/>
          <w:lang w:val="en-GB"/>
        </w:rPr>
        <w:t xml:space="preserve">month period and if </w:t>
      </w:r>
      <w:r w:rsidR="002C32BC">
        <w:rPr>
          <w:rFonts w:asciiTheme="minorHAnsi" w:hAnsiTheme="minorHAnsi"/>
          <w:lang w:val="en-GB"/>
        </w:rPr>
        <w:lastRenderedPageBreak/>
        <w:t xml:space="preserve">simply adjusted for 12 months show </w:t>
      </w:r>
      <w:r w:rsidR="0014354F">
        <w:rPr>
          <w:rFonts w:asciiTheme="minorHAnsi" w:hAnsiTheme="minorHAnsi"/>
          <w:lang w:val="en-GB"/>
        </w:rPr>
        <w:t>reasonable growth in revenue yet significant growth in NOPAT</w:t>
      </w:r>
      <w:r w:rsidR="009207E5">
        <w:rPr>
          <w:rFonts w:asciiTheme="minorHAnsi" w:hAnsiTheme="minorHAnsi"/>
          <w:lang w:val="en-GB"/>
        </w:rPr>
        <w:t>, such that the</w:t>
      </w:r>
      <w:r w:rsidR="003D0ADA">
        <w:rPr>
          <w:rFonts w:asciiTheme="minorHAnsi" w:hAnsiTheme="minorHAnsi"/>
          <w:lang w:val="en-GB"/>
        </w:rPr>
        <w:t xml:space="preserve"> results for</w:t>
      </w:r>
      <w:r w:rsidR="009207E5">
        <w:rPr>
          <w:rFonts w:asciiTheme="minorHAnsi" w:hAnsiTheme="minorHAnsi"/>
          <w:lang w:val="en-GB"/>
        </w:rPr>
        <w:t xml:space="preserve"> 2016/17 would appear a less dramatic change. </w:t>
      </w:r>
    </w:p>
    <w:p w14:paraId="6993CAB7" w14:textId="2694DE1E" w:rsidR="00273B3D" w:rsidRPr="005D564C" w:rsidRDefault="00273B3D" w:rsidP="00273B3D">
      <w:pPr>
        <w:pStyle w:val="ListParagraph"/>
        <w:ind w:left="426" w:hanging="426"/>
        <w:rPr>
          <w:rFonts w:asciiTheme="minorHAnsi" w:hAnsiTheme="minorHAnsi"/>
          <w:color w:val="000000" w:themeColor="text1"/>
          <w:szCs w:val="22"/>
          <w:lang w:val="en-GB"/>
        </w:rPr>
      </w:pPr>
      <w:r w:rsidRPr="00D25BE7">
        <w:rPr>
          <w:rFonts w:asciiTheme="minorHAnsi" w:hAnsiTheme="minorHAnsi"/>
          <w:lang w:val="en-GB"/>
        </w:rPr>
        <w:t xml:space="preserve">This was also a time of change in the minority shareholder and Government/LNDC appeared to be somewhat of a spectator as important investment decisions were being made. </w:t>
      </w:r>
      <w:r>
        <w:rPr>
          <w:rFonts w:asciiTheme="minorHAnsi" w:hAnsiTheme="minorHAnsi"/>
          <w:lang w:val="en-GB"/>
        </w:rPr>
        <w:t xml:space="preserve">The company reinvested profits into the upgrading of the </w:t>
      </w:r>
      <w:proofErr w:type="spellStart"/>
      <w:r>
        <w:rPr>
          <w:rFonts w:asciiTheme="minorHAnsi" w:hAnsiTheme="minorHAnsi"/>
          <w:lang w:val="en-GB"/>
        </w:rPr>
        <w:t>Avani</w:t>
      </w:r>
      <w:proofErr w:type="spellEnd"/>
      <w:r>
        <w:rPr>
          <w:rFonts w:asciiTheme="minorHAnsi" w:hAnsiTheme="minorHAnsi"/>
          <w:lang w:val="en-GB"/>
        </w:rPr>
        <w:t xml:space="preserve"> Maseru and as a result n</w:t>
      </w:r>
      <w:r w:rsidRPr="00D25BE7">
        <w:rPr>
          <w:rFonts w:asciiTheme="minorHAnsi" w:hAnsiTheme="minorHAnsi"/>
          <w:lang w:val="en-GB"/>
        </w:rPr>
        <w:t xml:space="preserve">o dividends were paid during </w:t>
      </w:r>
      <w:r>
        <w:rPr>
          <w:rFonts w:asciiTheme="minorHAnsi" w:hAnsiTheme="minorHAnsi"/>
          <w:lang w:val="en-GB"/>
        </w:rPr>
        <w:t>that</w:t>
      </w:r>
      <w:r w:rsidRPr="00D25BE7">
        <w:rPr>
          <w:rFonts w:asciiTheme="minorHAnsi" w:hAnsiTheme="minorHAnsi"/>
          <w:lang w:val="en-GB"/>
        </w:rPr>
        <w:t xml:space="preserve"> time.</w:t>
      </w:r>
    </w:p>
    <w:p w14:paraId="744298A6" w14:textId="5DB3BCBD" w:rsidR="00210920" w:rsidRPr="00713392" w:rsidRDefault="00DE40AD" w:rsidP="005D564C">
      <w:pPr>
        <w:rPr>
          <w:rFonts w:asciiTheme="minorHAnsi" w:hAnsiTheme="minorHAnsi"/>
          <w:b/>
          <w:color w:val="000000" w:themeColor="text1"/>
          <w:szCs w:val="22"/>
          <w:lang w:val="en-GB"/>
        </w:rPr>
      </w:pPr>
      <w:r w:rsidRPr="00713392">
        <w:rPr>
          <w:rFonts w:asciiTheme="minorHAnsi" w:hAnsiTheme="minorHAnsi"/>
          <w:b/>
          <w:color w:val="000000" w:themeColor="text1"/>
          <w:szCs w:val="22"/>
          <w:lang w:val="en-GB"/>
        </w:rPr>
        <w:t xml:space="preserve">Figure </w:t>
      </w:r>
      <w:r w:rsidR="00243C32" w:rsidRPr="00713392">
        <w:rPr>
          <w:rFonts w:asciiTheme="minorHAnsi" w:hAnsiTheme="minorHAnsi"/>
          <w:b/>
          <w:color w:val="000000" w:themeColor="text1"/>
          <w:szCs w:val="22"/>
          <w:lang w:val="en-GB"/>
        </w:rPr>
        <w:t>23</w:t>
      </w:r>
      <w:r w:rsidR="003D0ADA">
        <w:rPr>
          <w:rFonts w:asciiTheme="minorHAnsi" w:hAnsiTheme="minorHAnsi"/>
          <w:b/>
          <w:color w:val="000000" w:themeColor="text1"/>
          <w:szCs w:val="22"/>
          <w:lang w:val="en-GB"/>
        </w:rPr>
        <w:t xml:space="preserve">: MHG </w:t>
      </w:r>
      <w:r w:rsidR="00243C32" w:rsidRPr="00713392">
        <w:rPr>
          <w:rFonts w:asciiTheme="minorHAnsi" w:hAnsiTheme="minorHAnsi"/>
          <w:b/>
          <w:color w:val="000000" w:themeColor="text1"/>
          <w:szCs w:val="22"/>
          <w:lang w:val="en-GB"/>
        </w:rPr>
        <w:t>Assets v Equity</w:t>
      </w:r>
    </w:p>
    <w:p w14:paraId="63CBA8FA" w14:textId="77777777" w:rsidR="00DE40AD" w:rsidRDefault="00DE40AD" w:rsidP="005D564C">
      <w:pPr>
        <w:rPr>
          <w:rFonts w:asciiTheme="minorHAnsi" w:hAnsiTheme="minorHAnsi"/>
          <w:color w:val="000000" w:themeColor="text1"/>
          <w:szCs w:val="22"/>
          <w:lang w:val="en-GB"/>
        </w:rPr>
      </w:pPr>
    </w:p>
    <w:p w14:paraId="02F134EC" w14:textId="11508580" w:rsidR="00DE40AD" w:rsidRDefault="00DE40AD" w:rsidP="005D564C">
      <w:pPr>
        <w:rPr>
          <w:rFonts w:asciiTheme="minorHAnsi" w:hAnsiTheme="minorHAnsi"/>
          <w:color w:val="000000" w:themeColor="text1"/>
          <w:szCs w:val="22"/>
          <w:lang w:val="en-GB"/>
        </w:rPr>
      </w:pPr>
      <w:r>
        <w:rPr>
          <w:noProof/>
        </w:rPr>
        <w:drawing>
          <wp:inline distT="0" distB="0" distL="0" distR="0" wp14:anchorId="591E49D4" wp14:editId="7FA1CF48">
            <wp:extent cx="4766945" cy="2481580"/>
            <wp:effectExtent l="25400" t="25400" r="109855" b="10922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6CAD51B" w14:textId="3C6EAA7E" w:rsidR="00DE40AD" w:rsidRPr="005B1FAC" w:rsidRDefault="005B1FAC" w:rsidP="005D564C">
      <w:pPr>
        <w:rPr>
          <w:rFonts w:asciiTheme="minorHAnsi" w:hAnsiTheme="minorHAnsi"/>
          <w:i/>
          <w:color w:val="000000" w:themeColor="text1"/>
          <w:sz w:val="18"/>
          <w:szCs w:val="18"/>
          <w:lang w:val="en-GB"/>
        </w:rPr>
      </w:pPr>
      <w:r w:rsidRPr="005B1FAC">
        <w:rPr>
          <w:rFonts w:asciiTheme="minorHAnsi" w:hAnsiTheme="minorHAnsi"/>
          <w:i/>
          <w:color w:val="000000" w:themeColor="text1"/>
          <w:sz w:val="18"/>
          <w:szCs w:val="18"/>
          <w:lang w:val="en-GB"/>
        </w:rPr>
        <w:t>Source: MHG AFS Various Years</w:t>
      </w:r>
    </w:p>
    <w:p w14:paraId="5E5E540F" w14:textId="77777777" w:rsidR="00DE40AD" w:rsidRPr="005D564C" w:rsidRDefault="00DE40AD" w:rsidP="005D564C">
      <w:pPr>
        <w:rPr>
          <w:rFonts w:asciiTheme="minorHAnsi" w:hAnsiTheme="minorHAnsi"/>
          <w:color w:val="000000" w:themeColor="text1"/>
          <w:szCs w:val="22"/>
          <w:lang w:val="en-GB"/>
        </w:rPr>
      </w:pPr>
    </w:p>
    <w:p w14:paraId="2C1B97B0" w14:textId="67EB0D18" w:rsidR="007B71D8" w:rsidRPr="00713392" w:rsidRDefault="00130B6F" w:rsidP="00713392">
      <w:pPr>
        <w:pStyle w:val="ListParagraph"/>
        <w:ind w:left="426" w:hanging="426"/>
        <w:rPr>
          <w:rFonts w:asciiTheme="minorHAnsi" w:hAnsiTheme="minorHAnsi"/>
          <w:color w:val="000000" w:themeColor="text1"/>
          <w:lang w:val="en-GB"/>
        </w:rPr>
      </w:pPr>
      <w:r>
        <w:rPr>
          <w:rFonts w:asciiTheme="minorHAnsi" w:hAnsiTheme="minorHAnsi"/>
          <w:color w:val="000000" w:themeColor="text1"/>
          <w:szCs w:val="22"/>
          <w:lang w:val="en-GB"/>
        </w:rPr>
        <w:t>There has been consistent growth in Total Assets and in Equity. What is also positive is that there has been growth in Equity as a proportion of Total Assets</w:t>
      </w:r>
      <w:r w:rsidR="000C3948">
        <w:rPr>
          <w:rFonts w:asciiTheme="minorHAnsi" w:hAnsiTheme="minorHAnsi"/>
          <w:color w:val="000000" w:themeColor="text1"/>
          <w:szCs w:val="22"/>
          <w:lang w:val="en-GB"/>
        </w:rPr>
        <w:t xml:space="preserve"> thereby increasing the GoL’s value of the business.</w:t>
      </w:r>
    </w:p>
    <w:p w14:paraId="70C1C4D6" w14:textId="5C9D34DF" w:rsidR="005062A9" w:rsidRPr="0023147B" w:rsidRDefault="005062A9" w:rsidP="005062A9">
      <w:pPr>
        <w:rPr>
          <w:rFonts w:asciiTheme="minorHAnsi" w:hAnsiTheme="minorHAnsi"/>
          <w:b/>
          <w:sz w:val="20"/>
          <w:lang w:val="en-GB"/>
        </w:rPr>
      </w:pPr>
      <w:r w:rsidRPr="0098158E">
        <w:rPr>
          <w:rFonts w:asciiTheme="minorHAnsi" w:hAnsiTheme="minorHAnsi"/>
          <w:b/>
          <w:sz w:val="20"/>
          <w:lang w:val="en-GB"/>
        </w:rPr>
        <w:t xml:space="preserve">Table </w:t>
      </w:r>
      <w:r w:rsidR="0098158E" w:rsidRPr="00713392">
        <w:rPr>
          <w:rFonts w:asciiTheme="minorHAnsi" w:hAnsiTheme="minorHAnsi"/>
          <w:b/>
          <w:sz w:val="20"/>
          <w:lang w:val="en-GB"/>
        </w:rPr>
        <w:t>20:</w:t>
      </w:r>
      <w:r w:rsidRPr="0098158E">
        <w:rPr>
          <w:rFonts w:asciiTheme="minorHAnsi" w:hAnsiTheme="minorHAnsi"/>
          <w:b/>
          <w:sz w:val="20"/>
          <w:lang w:val="en-GB"/>
        </w:rPr>
        <w:t xml:space="preserve"> Performance</w:t>
      </w:r>
      <w:r w:rsidRPr="0023147B">
        <w:rPr>
          <w:rFonts w:asciiTheme="minorHAnsi" w:hAnsiTheme="minorHAnsi"/>
          <w:b/>
          <w:sz w:val="20"/>
          <w:lang w:val="en-GB"/>
        </w:rPr>
        <w:t xml:space="preserve"> </w:t>
      </w:r>
      <w:r w:rsidR="007B71D8">
        <w:rPr>
          <w:rFonts w:asciiTheme="minorHAnsi" w:hAnsiTheme="minorHAnsi"/>
          <w:b/>
          <w:sz w:val="20"/>
          <w:lang w:val="en-GB"/>
        </w:rPr>
        <w:t>Data</w:t>
      </w:r>
      <w:r w:rsidR="007B71D8" w:rsidRPr="0023147B">
        <w:rPr>
          <w:rFonts w:asciiTheme="minorHAnsi" w:hAnsiTheme="minorHAnsi"/>
          <w:b/>
          <w:sz w:val="20"/>
          <w:lang w:val="en-GB"/>
        </w:rPr>
        <w:t xml:space="preserve"> </w:t>
      </w:r>
      <w:r w:rsidRPr="0023147B">
        <w:rPr>
          <w:rFonts w:asciiTheme="minorHAnsi" w:hAnsiTheme="minorHAnsi"/>
          <w:b/>
          <w:sz w:val="20"/>
          <w:lang w:val="en-GB"/>
        </w:rPr>
        <w:t xml:space="preserve">– </w:t>
      </w:r>
      <w:r w:rsidR="00B53BF3" w:rsidRPr="0023147B">
        <w:rPr>
          <w:rFonts w:asciiTheme="minorHAnsi" w:hAnsiTheme="minorHAnsi"/>
          <w:b/>
          <w:sz w:val="20"/>
          <w:lang w:val="en-GB"/>
        </w:rPr>
        <w:t xml:space="preserve">MHG </w:t>
      </w:r>
      <w:proofErr w:type="spellStart"/>
      <w:r w:rsidR="00B53BF3" w:rsidRPr="0023147B">
        <w:rPr>
          <w:rFonts w:asciiTheme="minorHAnsi" w:hAnsiTheme="minorHAnsi"/>
          <w:b/>
          <w:sz w:val="20"/>
          <w:lang w:val="en-GB"/>
        </w:rPr>
        <w:t>Avani</w:t>
      </w:r>
      <w:proofErr w:type="spellEnd"/>
    </w:p>
    <w:p w14:paraId="67EC1359" w14:textId="77777777" w:rsidR="005D5277" w:rsidRPr="00D25BE7" w:rsidRDefault="005D5277" w:rsidP="005062A9">
      <w:pPr>
        <w:rPr>
          <w:rFonts w:asciiTheme="minorHAnsi" w:hAnsiTheme="minorHAnsi"/>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1276"/>
        <w:gridCol w:w="1276"/>
        <w:gridCol w:w="1276"/>
        <w:gridCol w:w="1276"/>
        <w:gridCol w:w="1276"/>
      </w:tblGrid>
      <w:tr w:rsidR="005E6617" w:rsidRPr="003D0ADA" w14:paraId="23AF4862" w14:textId="77777777" w:rsidTr="006A4FFD">
        <w:trPr>
          <w:trHeight w:val="360"/>
          <w:tblHeader/>
          <w:jc w:val="center"/>
        </w:trPr>
        <w:tc>
          <w:tcPr>
            <w:tcW w:w="2008" w:type="dxa"/>
            <w:shd w:val="clear" w:color="auto" w:fill="D9D9D9" w:themeFill="background1" w:themeFillShade="D9"/>
            <w:noWrap/>
            <w:vAlign w:val="center"/>
            <w:hideMark/>
          </w:tcPr>
          <w:p w14:paraId="54A92C2B" w14:textId="77777777" w:rsidR="005E6617" w:rsidRPr="006A4FFD" w:rsidRDefault="005E6617" w:rsidP="005A1DD4">
            <w:pPr>
              <w:ind w:firstLine="42"/>
              <w:rPr>
                <w:rFonts w:asciiTheme="minorHAnsi" w:hAnsiTheme="minorHAnsi"/>
                <w:sz w:val="18"/>
                <w:szCs w:val="18"/>
                <w:lang w:eastAsia="en-GB"/>
              </w:rPr>
            </w:pPr>
            <w:r w:rsidRPr="006A4FFD">
              <w:rPr>
                <w:rFonts w:asciiTheme="minorHAnsi" w:hAnsiTheme="minorHAnsi"/>
                <w:sz w:val="18"/>
                <w:szCs w:val="18"/>
                <w:lang w:eastAsia="en-GB"/>
              </w:rPr>
              <w:t>Performance Highlights (M '000)</w:t>
            </w:r>
          </w:p>
        </w:tc>
        <w:tc>
          <w:tcPr>
            <w:tcW w:w="1276" w:type="dxa"/>
            <w:shd w:val="clear" w:color="auto" w:fill="D9D9D9" w:themeFill="background1" w:themeFillShade="D9"/>
            <w:vAlign w:val="center"/>
          </w:tcPr>
          <w:p w14:paraId="79105325" w14:textId="67136C22" w:rsidR="005E6617" w:rsidRPr="006A4FFD" w:rsidRDefault="005E6617" w:rsidP="005A1DD4">
            <w:pPr>
              <w:jc w:val="center"/>
              <w:rPr>
                <w:rFonts w:asciiTheme="minorHAnsi" w:hAnsiTheme="minorHAnsi" w:cstheme="minorHAnsi"/>
                <w:b/>
                <w:bCs/>
                <w:color w:val="000000"/>
                <w:sz w:val="18"/>
                <w:szCs w:val="18"/>
                <w:lang w:eastAsia="en-GB"/>
              </w:rPr>
            </w:pPr>
            <w:r w:rsidRPr="006A4FFD">
              <w:rPr>
                <w:rFonts w:asciiTheme="minorHAnsi" w:hAnsiTheme="minorHAnsi" w:cstheme="minorHAnsi"/>
                <w:b/>
                <w:bCs/>
                <w:sz w:val="18"/>
                <w:szCs w:val="18"/>
                <w:lang w:eastAsia="en-GB"/>
              </w:rPr>
              <w:t>2014/15</w:t>
            </w:r>
          </w:p>
        </w:tc>
        <w:tc>
          <w:tcPr>
            <w:tcW w:w="1276" w:type="dxa"/>
            <w:shd w:val="clear" w:color="auto" w:fill="D9D9D9" w:themeFill="background1" w:themeFillShade="D9"/>
            <w:vAlign w:val="center"/>
          </w:tcPr>
          <w:p w14:paraId="0252B75E" w14:textId="6F284797" w:rsidR="005E6617" w:rsidRPr="006A4FFD" w:rsidRDefault="005E6617" w:rsidP="005A1DD4">
            <w:pPr>
              <w:jc w:val="center"/>
              <w:rPr>
                <w:rFonts w:asciiTheme="minorHAnsi" w:hAnsiTheme="minorHAnsi" w:cstheme="minorHAnsi"/>
                <w:b/>
                <w:bCs/>
                <w:color w:val="000000"/>
                <w:sz w:val="18"/>
                <w:szCs w:val="18"/>
                <w:lang w:eastAsia="en-GB"/>
              </w:rPr>
            </w:pPr>
            <w:r w:rsidRPr="006A4FFD">
              <w:rPr>
                <w:rFonts w:asciiTheme="minorHAnsi" w:hAnsiTheme="minorHAnsi" w:cstheme="minorHAnsi"/>
                <w:b/>
                <w:bCs/>
                <w:sz w:val="18"/>
                <w:szCs w:val="18"/>
                <w:lang w:eastAsia="en-GB"/>
              </w:rPr>
              <w:t>18 months 2015/16</w:t>
            </w:r>
          </w:p>
        </w:tc>
        <w:tc>
          <w:tcPr>
            <w:tcW w:w="1276" w:type="dxa"/>
            <w:shd w:val="clear" w:color="auto" w:fill="D9D9D9" w:themeFill="background1" w:themeFillShade="D9"/>
            <w:vAlign w:val="center"/>
            <w:hideMark/>
          </w:tcPr>
          <w:p w14:paraId="3A514D9E" w14:textId="77777777" w:rsidR="005E6617" w:rsidRPr="006A4FFD" w:rsidRDefault="005E6617" w:rsidP="005A1DD4">
            <w:pPr>
              <w:jc w:val="center"/>
              <w:rPr>
                <w:rFonts w:asciiTheme="minorHAnsi" w:hAnsiTheme="minorHAnsi" w:cstheme="minorHAnsi"/>
                <w:b/>
                <w:bCs/>
                <w:sz w:val="18"/>
                <w:szCs w:val="18"/>
                <w:lang w:eastAsia="en-GB"/>
              </w:rPr>
            </w:pPr>
            <w:r w:rsidRPr="006A4FFD">
              <w:rPr>
                <w:rFonts w:asciiTheme="minorHAnsi" w:hAnsiTheme="minorHAnsi" w:cstheme="minorHAnsi"/>
                <w:b/>
                <w:bCs/>
                <w:sz w:val="18"/>
                <w:szCs w:val="18"/>
                <w:lang w:eastAsia="en-GB"/>
              </w:rPr>
              <w:t>2016/17</w:t>
            </w:r>
          </w:p>
        </w:tc>
        <w:tc>
          <w:tcPr>
            <w:tcW w:w="1276" w:type="dxa"/>
            <w:shd w:val="clear" w:color="auto" w:fill="D9D9D9" w:themeFill="background1" w:themeFillShade="D9"/>
            <w:vAlign w:val="center"/>
          </w:tcPr>
          <w:p w14:paraId="4F93D454" w14:textId="2FC9677D" w:rsidR="005E6617" w:rsidRPr="006A4FFD" w:rsidRDefault="005E6617" w:rsidP="005A1DD4">
            <w:pPr>
              <w:jc w:val="center"/>
              <w:rPr>
                <w:rFonts w:asciiTheme="minorHAnsi" w:hAnsiTheme="minorHAnsi" w:cstheme="minorHAnsi"/>
                <w:b/>
                <w:bCs/>
                <w:color w:val="000000"/>
                <w:sz w:val="18"/>
                <w:szCs w:val="18"/>
                <w:lang w:eastAsia="en-GB"/>
              </w:rPr>
            </w:pPr>
            <w:r w:rsidRPr="006A4FFD">
              <w:rPr>
                <w:rFonts w:asciiTheme="minorHAnsi" w:hAnsiTheme="minorHAnsi" w:cstheme="minorHAnsi"/>
                <w:b/>
                <w:bCs/>
                <w:sz w:val="18"/>
                <w:szCs w:val="18"/>
                <w:lang w:eastAsia="en-GB"/>
              </w:rPr>
              <w:t>2017/18</w:t>
            </w:r>
          </w:p>
        </w:tc>
        <w:tc>
          <w:tcPr>
            <w:tcW w:w="1276" w:type="dxa"/>
            <w:shd w:val="clear" w:color="auto" w:fill="D9D9D9" w:themeFill="background1" w:themeFillShade="D9"/>
            <w:noWrap/>
            <w:vAlign w:val="center"/>
            <w:hideMark/>
          </w:tcPr>
          <w:p w14:paraId="5C1B7047" w14:textId="7820E496" w:rsidR="005E6617" w:rsidRPr="006A4FFD" w:rsidRDefault="005E6617" w:rsidP="005A1DD4">
            <w:pPr>
              <w:jc w:val="center"/>
              <w:rPr>
                <w:rFonts w:asciiTheme="minorHAnsi" w:hAnsiTheme="minorHAnsi" w:cstheme="minorHAnsi"/>
                <w:b/>
                <w:bCs/>
                <w:color w:val="000000"/>
                <w:sz w:val="18"/>
                <w:szCs w:val="18"/>
                <w:lang w:eastAsia="en-GB"/>
              </w:rPr>
            </w:pPr>
            <w:r w:rsidRPr="006A4FFD">
              <w:rPr>
                <w:rFonts w:asciiTheme="minorHAnsi" w:hAnsiTheme="minorHAnsi" w:cstheme="minorHAnsi"/>
                <w:b/>
                <w:bCs/>
                <w:color w:val="000000"/>
                <w:sz w:val="18"/>
                <w:szCs w:val="18"/>
                <w:lang w:eastAsia="en-GB"/>
              </w:rPr>
              <w:t>4-yr Average</w:t>
            </w:r>
          </w:p>
        </w:tc>
      </w:tr>
      <w:tr w:rsidR="005E6617" w:rsidRPr="003D0ADA" w14:paraId="6E1C1434" w14:textId="77777777" w:rsidTr="006A4FFD">
        <w:trPr>
          <w:trHeight w:val="360"/>
          <w:jc w:val="center"/>
        </w:trPr>
        <w:tc>
          <w:tcPr>
            <w:tcW w:w="2008" w:type="dxa"/>
            <w:shd w:val="clear" w:color="000000" w:fill="FFFFFF"/>
            <w:noWrap/>
            <w:vAlign w:val="center"/>
            <w:hideMark/>
          </w:tcPr>
          <w:p w14:paraId="1678A35B"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Total Revenue</w:t>
            </w:r>
          </w:p>
        </w:tc>
        <w:tc>
          <w:tcPr>
            <w:tcW w:w="1276" w:type="dxa"/>
            <w:vAlign w:val="center"/>
          </w:tcPr>
          <w:p w14:paraId="2D1FA60A" w14:textId="6FD9FA35"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127,031</w:t>
            </w:r>
          </w:p>
        </w:tc>
        <w:tc>
          <w:tcPr>
            <w:tcW w:w="1276" w:type="dxa"/>
            <w:vAlign w:val="center"/>
          </w:tcPr>
          <w:p w14:paraId="32318827" w14:textId="1E005665"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206,810</w:t>
            </w:r>
          </w:p>
        </w:tc>
        <w:tc>
          <w:tcPr>
            <w:tcW w:w="1276" w:type="dxa"/>
            <w:shd w:val="clear" w:color="auto" w:fill="auto"/>
            <w:noWrap/>
            <w:vAlign w:val="center"/>
            <w:hideMark/>
          </w:tcPr>
          <w:p w14:paraId="314114B0" w14:textId="3B27A720"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137,834</w:t>
            </w:r>
          </w:p>
        </w:tc>
        <w:tc>
          <w:tcPr>
            <w:tcW w:w="1276" w:type="dxa"/>
            <w:vAlign w:val="center"/>
          </w:tcPr>
          <w:p w14:paraId="034BA738" w14:textId="29265EDB" w:rsidR="005E6617" w:rsidRPr="006A4FFD" w:rsidRDefault="00BC5413" w:rsidP="001E32BA">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149,203</w:t>
            </w:r>
          </w:p>
        </w:tc>
        <w:tc>
          <w:tcPr>
            <w:tcW w:w="1276" w:type="dxa"/>
            <w:shd w:val="clear" w:color="auto" w:fill="auto"/>
            <w:noWrap/>
            <w:vAlign w:val="center"/>
            <w:hideMark/>
          </w:tcPr>
          <w:p w14:paraId="28C37995" w14:textId="5ECF2DFB" w:rsidR="005E6617" w:rsidRPr="006A4FFD" w:rsidRDefault="005E321A"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155,220</w:t>
            </w:r>
          </w:p>
        </w:tc>
      </w:tr>
      <w:tr w:rsidR="005E6617" w:rsidRPr="003D0ADA" w14:paraId="637CEB67" w14:textId="77777777" w:rsidTr="006A4FFD">
        <w:trPr>
          <w:trHeight w:val="360"/>
          <w:jc w:val="center"/>
        </w:trPr>
        <w:tc>
          <w:tcPr>
            <w:tcW w:w="2008" w:type="dxa"/>
            <w:shd w:val="clear" w:color="000000" w:fill="FFFFFF"/>
            <w:noWrap/>
            <w:vAlign w:val="center"/>
            <w:hideMark/>
          </w:tcPr>
          <w:p w14:paraId="46400F3E"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Net Operating Profit After Tax</w:t>
            </w:r>
          </w:p>
        </w:tc>
        <w:tc>
          <w:tcPr>
            <w:tcW w:w="1276" w:type="dxa"/>
            <w:vAlign w:val="center"/>
          </w:tcPr>
          <w:p w14:paraId="22959D36" w14:textId="0F48DA9B"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1,484</w:t>
            </w:r>
          </w:p>
        </w:tc>
        <w:tc>
          <w:tcPr>
            <w:tcW w:w="1276" w:type="dxa"/>
            <w:vAlign w:val="center"/>
          </w:tcPr>
          <w:p w14:paraId="60BCD25E" w14:textId="29279DCB"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14,929</w:t>
            </w:r>
          </w:p>
        </w:tc>
        <w:tc>
          <w:tcPr>
            <w:tcW w:w="1276" w:type="dxa"/>
            <w:shd w:val="clear" w:color="auto" w:fill="auto"/>
            <w:noWrap/>
            <w:vAlign w:val="center"/>
            <w:hideMark/>
          </w:tcPr>
          <w:p w14:paraId="46DF515D" w14:textId="23279B56"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11,952</w:t>
            </w:r>
          </w:p>
        </w:tc>
        <w:tc>
          <w:tcPr>
            <w:tcW w:w="1276" w:type="dxa"/>
            <w:vAlign w:val="center"/>
          </w:tcPr>
          <w:p w14:paraId="1D13426A" w14:textId="02BC7D02" w:rsidR="005E6617" w:rsidRPr="006A4FFD" w:rsidRDefault="00BC5413" w:rsidP="001E32BA">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13,868</w:t>
            </w:r>
          </w:p>
        </w:tc>
        <w:tc>
          <w:tcPr>
            <w:tcW w:w="1276" w:type="dxa"/>
            <w:shd w:val="clear" w:color="auto" w:fill="auto"/>
            <w:noWrap/>
            <w:vAlign w:val="center"/>
            <w:hideMark/>
          </w:tcPr>
          <w:p w14:paraId="0041483D" w14:textId="4D23D03F" w:rsidR="005E6617" w:rsidRPr="006A4FFD" w:rsidRDefault="005E321A"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10,558</w:t>
            </w:r>
          </w:p>
        </w:tc>
      </w:tr>
      <w:tr w:rsidR="005E6617" w:rsidRPr="003D0ADA" w14:paraId="4F2A4C4F" w14:textId="77777777" w:rsidTr="006A4FFD">
        <w:trPr>
          <w:trHeight w:val="360"/>
          <w:jc w:val="center"/>
        </w:trPr>
        <w:tc>
          <w:tcPr>
            <w:tcW w:w="2008" w:type="dxa"/>
            <w:shd w:val="clear" w:color="000000" w:fill="FFFFFF"/>
            <w:noWrap/>
            <w:vAlign w:val="center"/>
            <w:hideMark/>
          </w:tcPr>
          <w:p w14:paraId="4A5FC4CE" w14:textId="507AF659"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color w:val="000000" w:themeColor="text1"/>
                <w:sz w:val="18"/>
                <w:szCs w:val="18"/>
                <w:lang w:eastAsia="en-GB"/>
              </w:rPr>
              <w:t>Dividends Paid to GoL</w:t>
            </w:r>
          </w:p>
        </w:tc>
        <w:tc>
          <w:tcPr>
            <w:tcW w:w="1276" w:type="dxa"/>
            <w:vAlign w:val="center"/>
          </w:tcPr>
          <w:p w14:paraId="570DFAC3" w14:textId="77777777"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 xml:space="preserve">  </w:t>
            </w:r>
          </w:p>
        </w:tc>
        <w:tc>
          <w:tcPr>
            <w:tcW w:w="1276" w:type="dxa"/>
            <w:vAlign w:val="center"/>
          </w:tcPr>
          <w:p w14:paraId="4E59E235" w14:textId="77777777"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 xml:space="preserve">  </w:t>
            </w:r>
          </w:p>
        </w:tc>
        <w:tc>
          <w:tcPr>
            <w:tcW w:w="1276" w:type="dxa"/>
            <w:shd w:val="clear" w:color="auto" w:fill="auto"/>
            <w:noWrap/>
            <w:vAlign w:val="center"/>
            <w:hideMark/>
          </w:tcPr>
          <w:p w14:paraId="6947DD26" w14:textId="77777777"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 xml:space="preserve">  </w:t>
            </w:r>
          </w:p>
        </w:tc>
        <w:tc>
          <w:tcPr>
            <w:tcW w:w="1276" w:type="dxa"/>
            <w:vAlign w:val="center"/>
          </w:tcPr>
          <w:p w14:paraId="7E42F874" w14:textId="71F8E776" w:rsidR="005E6617" w:rsidRPr="006A4FFD" w:rsidRDefault="00BC5413" w:rsidP="001E32BA">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w:t>
            </w:r>
            <w:r w:rsidR="005E321A" w:rsidRPr="006A4FFD">
              <w:rPr>
                <w:rFonts w:asciiTheme="minorHAnsi" w:hAnsiTheme="minorHAnsi" w:cstheme="minorHAnsi"/>
                <w:color w:val="000000" w:themeColor="text1"/>
                <w:sz w:val="18"/>
                <w:szCs w:val="18"/>
                <w:lang w:eastAsia="en-GB"/>
              </w:rPr>
              <w:t>,</w:t>
            </w:r>
            <w:r w:rsidRPr="006A4FFD">
              <w:rPr>
                <w:rFonts w:asciiTheme="minorHAnsi" w:hAnsiTheme="minorHAnsi" w:cstheme="minorHAnsi"/>
                <w:color w:val="000000" w:themeColor="text1"/>
                <w:sz w:val="18"/>
                <w:szCs w:val="18"/>
                <w:lang w:eastAsia="en-GB"/>
              </w:rPr>
              <w:t>548</w:t>
            </w:r>
          </w:p>
        </w:tc>
        <w:tc>
          <w:tcPr>
            <w:tcW w:w="1276" w:type="dxa"/>
            <w:shd w:val="clear" w:color="auto" w:fill="auto"/>
            <w:noWrap/>
            <w:vAlign w:val="center"/>
            <w:hideMark/>
          </w:tcPr>
          <w:p w14:paraId="04FBE91A" w14:textId="06E79B71"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 xml:space="preserve"> </w:t>
            </w:r>
          </w:p>
        </w:tc>
      </w:tr>
      <w:tr w:rsidR="005E6617" w:rsidRPr="003D0ADA" w14:paraId="4471D1D2" w14:textId="77777777" w:rsidTr="006A4FFD">
        <w:trPr>
          <w:trHeight w:val="360"/>
          <w:jc w:val="center"/>
        </w:trPr>
        <w:tc>
          <w:tcPr>
            <w:tcW w:w="2008" w:type="dxa"/>
            <w:shd w:val="clear" w:color="000000" w:fill="FFFFFF"/>
            <w:noWrap/>
            <w:vAlign w:val="center"/>
            <w:hideMark/>
          </w:tcPr>
          <w:p w14:paraId="24BE3F94"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Total Assets</w:t>
            </w:r>
          </w:p>
        </w:tc>
        <w:tc>
          <w:tcPr>
            <w:tcW w:w="1276" w:type="dxa"/>
            <w:vAlign w:val="center"/>
          </w:tcPr>
          <w:p w14:paraId="3199D22E" w14:textId="4908919E"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115,000</w:t>
            </w:r>
          </w:p>
        </w:tc>
        <w:tc>
          <w:tcPr>
            <w:tcW w:w="1276" w:type="dxa"/>
            <w:vAlign w:val="center"/>
          </w:tcPr>
          <w:p w14:paraId="7520F823" w14:textId="710E0A53"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121,054</w:t>
            </w:r>
          </w:p>
        </w:tc>
        <w:tc>
          <w:tcPr>
            <w:tcW w:w="1276" w:type="dxa"/>
            <w:shd w:val="clear" w:color="auto" w:fill="auto"/>
            <w:noWrap/>
            <w:vAlign w:val="center"/>
          </w:tcPr>
          <w:p w14:paraId="0CDC5738" w14:textId="6C96FFE9"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133,336</w:t>
            </w:r>
          </w:p>
        </w:tc>
        <w:tc>
          <w:tcPr>
            <w:tcW w:w="1276" w:type="dxa"/>
            <w:vAlign w:val="center"/>
          </w:tcPr>
          <w:p w14:paraId="13DF1DDF" w14:textId="4BED2BFE" w:rsidR="005E6617" w:rsidRPr="006A4FFD" w:rsidRDefault="001E32BA" w:rsidP="001E32BA">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146,209</w:t>
            </w:r>
          </w:p>
        </w:tc>
        <w:tc>
          <w:tcPr>
            <w:tcW w:w="1276" w:type="dxa"/>
            <w:shd w:val="clear" w:color="auto" w:fill="auto"/>
            <w:noWrap/>
            <w:vAlign w:val="center"/>
            <w:hideMark/>
          </w:tcPr>
          <w:p w14:paraId="7C0AC699" w14:textId="74D48D41" w:rsidR="005E6617" w:rsidRPr="006A4FFD" w:rsidRDefault="00C86F95"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128,900</w:t>
            </w:r>
          </w:p>
        </w:tc>
      </w:tr>
      <w:tr w:rsidR="005E6617" w:rsidRPr="003D0ADA" w14:paraId="57F68025" w14:textId="77777777" w:rsidTr="006A4FFD">
        <w:trPr>
          <w:trHeight w:val="360"/>
          <w:jc w:val="center"/>
        </w:trPr>
        <w:tc>
          <w:tcPr>
            <w:tcW w:w="2008" w:type="dxa"/>
            <w:shd w:val="clear" w:color="000000" w:fill="FFFFFF"/>
            <w:noWrap/>
            <w:vAlign w:val="center"/>
            <w:hideMark/>
          </w:tcPr>
          <w:p w14:paraId="5D8B310A"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Total Liabilities</w:t>
            </w:r>
          </w:p>
        </w:tc>
        <w:tc>
          <w:tcPr>
            <w:tcW w:w="1276" w:type="dxa"/>
            <w:vAlign w:val="center"/>
          </w:tcPr>
          <w:p w14:paraId="3FE53EF9" w14:textId="3E7D1450"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43,805</w:t>
            </w:r>
          </w:p>
        </w:tc>
        <w:tc>
          <w:tcPr>
            <w:tcW w:w="1276" w:type="dxa"/>
            <w:vAlign w:val="center"/>
          </w:tcPr>
          <w:p w14:paraId="58ADB757" w14:textId="4BA3996E"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42,823</w:t>
            </w:r>
          </w:p>
        </w:tc>
        <w:tc>
          <w:tcPr>
            <w:tcW w:w="1276" w:type="dxa"/>
            <w:shd w:val="clear" w:color="auto" w:fill="auto"/>
            <w:noWrap/>
            <w:vAlign w:val="center"/>
          </w:tcPr>
          <w:p w14:paraId="1B5F5921" w14:textId="41F78F7C"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43,153</w:t>
            </w:r>
          </w:p>
        </w:tc>
        <w:tc>
          <w:tcPr>
            <w:tcW w:w="1276" w:type="dxa"/>
            <w:vAlign w:val="center"/>
          </w:tcPr>
          <w:p w14:paraId="4B103F61" w14:textId="4011C9D5" w:rsidR="005E6617" w:rsidRPr="006A4FFD" w:rsidRDefault="00BC5413" w:rsidP="001E32BA">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42,159</w:t>
            </w:r>
          </w:p>
        </w:tc>
        <w:tc>
          <w:tcPr>
            <w:tcW w:w="1276" w:type="dxa"/>
            <w:shd w:val="clear" w:color="auto" w:fill="auto"/>
            <w:noWrap/>
            <w:vAlign w:val="center"/>
            <w:hideMark/>
          </w:tcPr>
          <w:p w14:paraId="33EAF645" w14:textId="193BEC54" w:rsidR="005E6617" w:rsidRPr="006A4FFD" w:rsidRDefault="00C86F95"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42,985</w:t>
            </w:r>
          </w:p>
        </w:tc>
      </w:tr>
      <w:tr w:rsidR="005E6617" w:rsidRPr="003D0ADA" w14:paraId="7E939E78" w14:textId="77777777" w:rsidTr="006A4FFD">
        <w:trPr>
          <w:trHeight w:val="360"/>
          <w:jc w:val="center"/>
        </w:trPr>
        <w:tc>
          <w:tcPr>
            <w:tcW w:w="2008" w:type="dxa"/>
            <w:shd w:val="clear" w:color="000000" w:fill="FFFFFF"/>
            <w:noWrap/>
            <w:vAlign w:val="center"/>
            <w:hideMark/>
          </w:tcPr>
          <w:p w14:paraId="269EE56F"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Shareholders' Funds</w:t>
            </w:r>
          </w:p>
        </w:tc>
        <w:tc>
          <w:tcPr>
            <w:tcW w:w="1276" w:type="dxa"/>
            <w:vAlign w:val="center"/>
          </w:tcPr>
          <w:p w14:paraId="38D48C92" w14:textId="3D0F10D8"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71,195</w:t>
            </w:r>
          </w:p>
        </w:tc>
        <w:tc>
          <w:tcPr>
            <w:tcW w:w="1276" w:type="dxa"/>
            <w:vAlign w:val="center"/>
          </w:tcPr>
          <w:p w14:paraId="4D218E30" w14:textId="5043D091"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78,231</w:t>
            </w:r>
          </w:p>
        </w:tc>
        <w:tc>
          <w:tcPr>
            <w:tcW w:w="1276" w:type="dxa"/>
            <w:shd w:val="clear" w:color="auto" w:fill="auto"/>
            <w:noWrap/>
            <w:vAlign w:val="center"/>
          </w:tcPr>
          <w:p w14:paraId="1B58966A" w14:textId="1F30D5FD"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90,183</w:t>
            </w:r>
          </w:p>
        </w:tc>
        <w:tc>
          <w:tcPr>
            <w:tcW w:w="1276" w:type="dxa"/>
            <w:vAlign w:val="center"/>
          </w:tcPr>
          <w:p w14:paraId="76B0DFA3" w14:textId="0578B4CB" w:rsidR="005E6617" w:rsidRPr="006A4FFD" w:rsidRDefault="00BC5413" w:rsidP="001E32BA">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104,050</w:t>
            </w:r>
          </w:p>
        </w:tc>
        <w:tc>
          <w:tcPr>
            <w:tcW w:w="1276" w:type="dxa"/>
            <w:shd w:val="clear" w:color="auto" w:fill="auto"/>
            <w:noWrap/>
            <w:vAlign w:val="center"/>
            <w:hideMark/>
          </w:tcPr>
          <w:p w14:paraId="308F2538" w14:textId="2AE613C8" w:rsidR="005E6617" w:rsidRPr="006A4FFD" w:rsidRDefault="00C86F95"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85,915</w:t>
            </w:r>
          </w:p>
        </w:tc>
      </w:tr>
      <w:tr w:rsidR="005E6617" w:rsidRPr="003D0ADA" w14:paraId="025D33C6" w14:textId="77777777" w:rsidTr="006A4FFD">
        <w:trPr>
          <w:trHeight w:val="360"/>
          <w:jc w:val="center"/>
        </w:trPr>
        <w:tc>
          <w:tcPr>
            <w:tcW w:w="2008" w:type="dxa"/>
            <w:shd w:val="clear" w:color="000000" w:fill="FFFFFF"/>
            <w:noWrap/>
            <w:vAlign w:val="center"/>
          </w:tcPr>
          <w:p w14:paraId="00336C97"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EBITDA %</w:t>
            </w:r>
          </w:p>
        </w:tc>
        <w:tc>
          <w:tcPr>
            <w:tcW w:w="1276" w:type="dxa"/>
            <w:vAlign w:val="center"/>
          </w:tcPr>
          <w:p w14:paraId="4FD98E3C" w14:textId="2E3A9D4B"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w:t>
            </w:r>
          </w:p>
        </w:tc>
        <w:tc>
          <w:tcPr>
            <w:tcW w:w="1276" w:type="dxa"/>
            <w:vAlign w:val="center"/>
          </w:tcPr>
          <w:p w14:paraId="6832622C" w14:textId="557D2933"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11%</w:t>
            </w:r>
          </w:p>
        </w:tc>
        <w:tc>
          <w:tcPr>
            <w:tcW w:w="1276" w:type="dxa"/>
            <w:shd w:val="clear" w:color="auto" w:fill="auto"/>
            <w:noWrap/>
            <w:vAlign w:val="center"/>
          </w:tcPr>
          <w:p w14:paraId="6FED1A0F" w14:textId="1694BD78"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21%</w:t>
            </w:r>
          </w:p>
        </w:tc>
        <w:tc>
          <w:tcPr>
            <w:tcW w:w="1276" w:type="dxa"/>
            <w:vAlign w:val="center"/>
          </w:tcPr>
          <w:p w14:paraId="2C5A0B23" w14:textId="6C6B54B4" w:rsidR="005E6617" w:rsidRPr="006A4FFD" w:rsidRDefault="00BC5413" w:rsidP="001E32BA">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21%</w:t>
            </w:r>
          </w:p>
        </w:tc>
        <w:tc>
          <w:tcPr>
            <w:tcW w:w="1276" w:type="dxa"/>
            <w:shd w:val="clear" w:color="auto" w:fill="auto"/>
            <w:noWrap/>
            <w:vAlign w:val="center"/>
          </w:tcPr>
          <w:p w14:paraId="760D96C0" w14:textId="57919B26" w:rsidR="005E6617" w:rsidRPr="006A4FFD" w:rsidRDefault="00C86F95"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13.75</w:t>
            </w:r>
            <w:r w:rsidR="005E6617" w:rsidRPr="006A4FFD">
              <w:rPr>
                <w:rFonts w:asciiTheme="minorHAnsi" w:hAnsiTheme="minorHAnsi" w:cstheme="minorHAnsi"/>
                <w:color w:val="000000" w:themeColor="text1"/>
                <w:sz w:val="18"/>
                <w:szCs w:val="18"/>
                <w:lang w:eastAsia="en-GB"/>
              </w:rPr>
              <w:t>%</w:t>
            </w:r>
          </w:p>
        </w:tc>
      </w:tr>
      <w:tr w:rsidR="005E6617" w:rsidRPr="003D0ADA" w14:paraId="4F513ADE" w14:textId="77777777" w:rsidTr="006A4FFD">
        <w:trPr>
          <w:trHeight w:val="360"/>
          <w:jc w:val="center"/>
        </w:trPr>
        <w:tc>
          <w:tcPr>
            <w:tcW w:w="2008" w:type="dxa"/>
            <w:shd w:val="clear" w:color="000000" w:fill="FFFFFF"/>
            <w:noWrap/>
            <w:vAlign w:val="center"/>
          </w:tcPr>
          <w:p w14:paraId="4C97D552"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NOPAT %</w:t>
            </w:r>
          </w:p>
        </w:tc>
        <w:tc>
          <w:tcPr>
            <w:tcW w:w="1276" w:type="dxa"/>
            <w:vAlign w:val="center"/>
          </w:tcPr>
          <w:p w14:paraId="77DF92F0" w14:textId="20907F61"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1.2%</w:t>
            </w:r>
          </w:p>
        </w:tc>
        <w:tc>
          <w:tcPr>
            <w:tcW w:w="1276" w:type="dxa"/>
            <w:vAlign w:val="center"/>
          </w:tcPr>
          <w:p w14:paraId="57150476" w14:textId="7CD5938C"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7.2%</w:t>
            </w:r>
          </w:p>
        </w:tc>
        <w:tc>
          <w:tcPr>
            <w:tcW w:w="1276" w:type="dxa"/>
            <w:shd w:val="clear" w:color="auto" w:fill="auto"/>
            <w:noWrap/>
            <w:vAlign w:val="center"/>
          </w:tcPr>
          <w:p w14:paraId="5C5905B2" w14:textId="5FEF31D4"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8.7%</w:t>
            </w:r>
          </w:p>
        </w:tc>
        <w:tc>
          <w:tcPr>
            <w:tcW w:w="1276" w:type="dxa"/>
            <w:vAlign w:val="center"/>
          </w:tcPr>
          <w:p w14:paraId="1FCC0EA4" w14:textId="6C9D69E2" w:rsidR="005E6617" w:rsidRPr="006A4FFD" w:rsidRDefault="00BC5413" w:rsidP="001E32BA">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9.3%</w:t>
            </w:r>
          </w:p>
        </w:tc>
        <w:tc>
          <w:tcPr>
            <w:tcW w:w="1276" w:type="dxa"/>
            <w:shd w:val="clear" w:color="auto" w:fill="auto"/>
            <w:noWrap/>
            <w:vAlign w:val="center"/>
          </w:tcPr>
          <w:p w14:paraId="5E3C6DE8" w14:textId="07F9E330" w:rsidR="005E6617" w:rsidRPr="006A4FFD" w:rsidRDefault="00C86F95"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6.6</w:t>
            </w:r>
            <w:r w:rsidR="005E6617" w:rsidRPr="006A4FFD">
              <w:rPr>
                <w:rFonts w:asciiTheme="minorHAnsi" w:hAnsiTheme="minorHAnsi" w:cstheme="minorHAnsi"/>
                <w:color w:val="000000" w:themeColor="text1"/>
                <w:sz w:val="18"/>
                <w:szCs w:val="18"/>
                <w:lang w:eastAsia="en-GB"/>
              </w:rPr>
              <w:t>%</w:t>
            </w:r>
          </w:p>
        </w:tc>
      </w:tr>
      <w:tr w:rsidR="005E6617" w:rsidRPr="003D0ADA" w14:paraId="4BFF7233" w14:textId="77777777" w:rsidTr="006A4FFD">
        <w:trPr>
          <w:trHeight w:val="360"/>
          <w:jc w:val="center"/>
        </w:trPr>
        <w:tc>
          <w:tcPr>
            <w:tcW w:w="2008" w:type="dxa"/>
            <w:shd w:val="clear" w:color="000000" w:fill="FFFFFF"/>
            <w:noWrap/>
            <w:vAlign w:val="center"/>
            <w:hideMark/>
          </w:tcPr>
          <w:p w14:paraId="7A4C2B77" w14:textId="77777777" w:rsidR="005E6617" w:rsidRPr="006A4FFD" w:rsidRDefault="005E6617" w:rsidP="005A1DD4">
            <w:pPr>
              <w:rPr>
                <w:rFonts w:asciiTheme="minorHAnsi" w:hAnsiTheme="minorHAnsi" w:cstheme="minorHAnsi"/>
                <w:sz w:val="18"/>
                <w:szCs w:val="18"/>
                <w:lang w:eastAsia="en-GB"/>
              </w:rPr>
            </w:pPr>
            <w:r w:rsidRPr="006A4FFD">
              <w:rPr>
                <w:rFonts w:asciiTheme="minorHAnsi" w:hAnsiTheme="minorHAnsi" w:cstheme="minorHAnsi"/>
                <w:sz w:val="18"/>
                <w:szCs w:val="18"/>
                <w:lang w:eastAsia="en-GB"/>
              </w:rPr>
              <w:t>ROE %</w:t>
            </w:r>
          </w:p>
        </w:tc>
        <w:tc>
          <w:tcPr>
            <w:tcW w:w="1276" w:type="dxa"/>
            <w:vAlign w:val="center"/>
          </w:tcPr>
          <w:p w14:paraId="572C65BF" w14:textId="1A0278D3"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2.1%</w:t>
            </w:r>
          </w:p>
        </w:tc>
        <w:tc>
          <w:tcPr>
            <w:tcW w:w="1276" w:type="dxa"/>
            <w:vAlign w:val="center"/>
          </w:tcPr>
          <w:p w14:paraId="5D48316B" w14:textId="55CF7F7F"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19.1%</w:t>
            </w:r>
          </w:p>
        </w:tc>
        <w:tc>
          <w:tcPr>
            <w:tcW w:w="1276" w:type="dxa"/>
            <w:shd w:val="clear" w:color="auto" w:fill="auto"/>
            <w:noWrap/>
            <w:vAlign w:val="center"/>
          </w:tcPr>
          <w:p w14:paraId="359CB854" w14:textId="75F73659"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13.3%</w:t>
            </w:r>
          </w:p>
        </w:tc>
        <w:tc>
          <w:tcPr>
            <w:tcW w:w="1276" w:type="dxa"/>
            <w:vAlign w:val="center"/>
          </w:tcPr>
          <w:p w14:paraId="14E0B803" w14:textId="6DF403E7" w:rsidR="005E6617" w:rsidRPr="006A4FFD" w:rsidRDefault="00BC5413" w:rsidP="001E32BA">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13.3%</w:t>
            </w:r>
          </w:p>
        </w:tc>
        <w:tc>
          <w:tcPr>
            <w:tcW w:w="1276" w:type="dxa"/>
            <w:shd w:val="clear" w:color="auto" w:fill="auto"/>
            <w:noWrap/>
            <w:vAlign w:val="center"/>
            <w:hideMark/>
          </w:tcPr>
          <w:p w14:paraId="58583BEA" w14:textId="7C0C1588" w:rsidR="005E6617" w:rsidRPr="006A4FFD" w:rsidRDefault="005E6617" w:rsidP="005A1DD4">
            <w:pPr>
              <w:jc w:val="right"/>
              <w:rPr>
                <w:rFonts w:asciiTheme="minorHAnsi" w:hAnsiTheme="minorHAnsi" w:cstheme="minorHAnsi"/>
                <w:color w:val="000000" w:themeColor="text1"/>
                <w:sz w:val="18"/>
                <w:szCs w:val="18"/>
                <w:lang w:eastAsia="en-GB"/>
              </w:rPr>
            </w:pPr>
            <w:r w:rsidRPr="006A4FFD">
              <w:rPr>
                <w:rFonts w:asciiTheme="minorHAnsi" w:hAnsiTheme="minorHAnsi" w:cstheme="minorHAnsi"/>
                <w:color w:val="000000" w:themeColor="text1"/>
                <w:sz w:val="18"/>
                <w:szCs w:val="18"/>
                <w:lang w:eastAsia="en-GB"/>
              </w:rPr>
              <w:t>11.</w:t>
            </w:r>
            <w:r w:rsidR="00C86F95" w:rsidRPr="006A4FFD">
              <w:rPr>
                <w:rFonts w:asciiTheme="minorHAnsi" w:hAnsiTheme="minorHAnsi" w:cstheme="minorHAnsi"/>
                <w:color w:val="000000" w:themeColor="text1"/>
                <w:sz w:val="18"/>
                <w:szCs w:val="18"/>
                <w:lang w:eastAsia="en-GB"/>
              </w:rPr>
              <w:t>9</w:t>
            </w:r>
            <w:r w:rsidRPr="006A4FFD">
              <w:rPr>
                <w:rFonts w:asciiTheme="minorHAnsi" w:hAnsiTheme="minorHAnsi" w:cstheme="minorHAnsi"/>
                <w:color w:val="000000" w:themeColor="text1"/>
                <w:sz w:val="18"/>
                <w:szCs w:val="18"/>
                <w:lang w:eastAsia="en-GB"/>
              </w:rPr>
              <w:t>5%</w:t>
            </w:r>
          </w:p>
        </w:tc>
      </w:tr>
      <w:tr w:rsidR="005E6617" w:rsidRPr="003D0ADA" w14:paraId="6BD810A2" w14:textId="77777777" w:rsidTr="006A4FFD">
        <w:trPr>
          <w:trHeight w:val="360"/>
          <w:jc w:val="center"/>
        </w:trPr>
        <w:tc>
          <w:tcPr>
            <w:tcW w:w="2008" w:type="dxa"/>
            <w:shd w:val="clear" w:color="000000" w:fill="FFFFFF"/>
            <w:noWrap/>
            <w:vAlign w:val="center"/>
            <w:hideMark/>
          </w:tcPr>
          <w:p w14:paraId="21CCE17A" w14:textId="77777777" w:rsidR="005E6617" w:rsidRPr="005B1FAC" w:rsidRDefault="005E6617" w:rsidP="005A1DD4">
            <w:pPr>
              <w:rPr>
                <w:rFonts w:asciiTheme="minorHAnsi" w:hAnsiTheme="minorHAnsi" w:cstheme="minorHAnsi"/>
                <w:sz w:val="18"/>
                <w:szCs w:val="18"/>
                <w:lang w:eastAsia="en-GB"/>
              </w:rPr>
            </w:pPr>
            <w:r w:rsidRPr="005B1FAC">
              <w:rPr>
                <w:rFonts w:asciiTheme="minorHAnsi" w:hAnsiTheme="minorHAnsi" w:cstheme="minorHAnsi"/>
                <w:sz w:val="18"/>
                <w:szCs w:val="18"/>
                <w:lang w:eastAsia="en-GB"/>
              </w:rPr>
              <w:t>ROA %</w:t>
            </w:r>
          </w:p>
        </w:tc>
        <w:tc>
          <w:tcPr>
            <w:tcW w:w="1276" w:type="dxa"/>
            <w:vAlign w:val="center"/>
          </w:tcPr>
          <w:p w14:paraId="4BF2BBB8" w14:textId="2B53CABF"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1.3%</w:t>
            </w:r>
          </w:p>
        </w:tc>
        <w:tc>
          <w:tcPr>
            <w:tcW w:w="1276" w:type="dxa"/>
            <w:vAlign w:val="center"/>
          </w:tcPr>
          <w:p w14:paraId="3A1856BD" w14:textId="7FAA07FF"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12.3%</w:t>
            </w:r>
          </w:p>
        </w:tc>
        <w:tc>
          <w:tcPr>
            <w:tcW w:w="1276" w:type="dxa"/>
            <w:shd w:val="clear" w:color="auto" w:fill="auto"/>
            <w:noWrap/>
            <w:vAlign w:val="center"/>
          </w:tcPr>
          <w:p w14:paraId="52C462C8" w14:textId="27BE4FFB"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9.0%</w:t>
            </w:r>
          </w:p>
        </w:tc>
        <w:tc>
          <w:tcPr>
            <w:tcW w:w="1276" w:type="dxa"/>
            <w:vAlign w:val="center"/>
          </w:tcPr>
          <w:p w14:paraId="78E6BA8C" w14:textId="4546980C" w:rsidR="005E6617" w:rsidRPr="005B1FAC" w:rsidRDefault="00BC5413" w:rsidP="001E32BA">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9.5%</w:t>
            </w:r>
          </w:p>
        </w:tc>
        <w:tc>
          <w:tcPr>
            <w:tcW w:w="1276" w:type="dxa"/>
            <w:shd w:val="clear" w:color="auto" w:fill="auto"/>
            <w:noWrap/>
            <w:vAlign w:val="center"/>
            <w:hideMark/>
          </w:tcPr>
          <w:p w14:paraId="530E6F7E" w14:textId="188D6EDF" w:rsidR="005E6617" w:rsidRPr="005B1FAC" w:rsidRDefault="00C86F95"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8.03</w:t>
            </w:r>
            <w:r w:rsidR="005E6617" w:rsidRPr="005B1FAC">
              <w:rPr>
                <w:rFonts w:asciiTheme="minorHAnsi" w:hAnsiTheme="minorHAnsi" w:cstheme="minorHAnsi"/>
                <w:color w:val="000000" w:themeColor="text1"/>
                <w:sz w:val="18"/>
                <w:szCs w:val="18"/>
                <w:lang w:eastAsia="en-GB"/>
              </w:rPr>
              <w:t>%</w:t>
            </w:r>
          </w:p>
        </w:tc>
      </w:tr>
      <w:tr w:rsidR="005E6617" w:rsidRPr="003D0ADA" w14:paraId="753100FC" w14:textId="77777777" w:rsidTr="006A4FFD">
        <w:trPr>
          <w:trHeight w:val="360"/>
          <w:jc w:val="center"/>
        </w:trPr>
        <w:tc>
          <w:tcPr>
            <w:tcW w:w="2008" w:type="dxa"/>
            <w:shd w:val="clear" w:color="000000" w:fill="FFFFFF"/>
            <w:noWrap/>
            <w:vAlign w:val="center"/>
          </w:tcPr>
          <w:p w14:paraId="5B030B37" w14:textId="77777777" w:rsidR="005E6617" w:rsidRPr="005B1FAC" w:rsidRDefault="005E6617" w:rsidP="005A1DD4">
            <w:pPr>
              <w:rPr>
                <w:rFonts w:asciiTheme="minorHAnsi" w:hAnsiTheme="minorHAnsi" w:cstheme="minorHAnsi"/>
                <w:sz w:val="18"/>
                <w:szCs w:val="18"/>
                <w:lang w:eastAsia="en-GB"/>
              </w:rPr>
            </w:pPr>
            <w:r w:rsidRPr="005B1FAC">
              <w:rPr>
                <w:rFonts w:asciiTheme="minorHAnsi" w:hAnsiTheme="minorHAnsi" w:cstheme="minorHAnsi"/>
                <w:sz w:val="18"/>
                <w:szCs w:val="18"/>
                <w:lang w:eastAsia="en-GB"/>
              </w:rPr>
              <w:t>Current Assets / Current liabilities</w:t>
            </w:r>
          </w:p>
        </w:tc>
        <w:tc>
          <w:tcPr>
            <w:tcW w:w="1276" w:type="dxa"/>
            <w:vAlign w:val="center"/>
          </w:tcPr>
          <w:p w14:paraId="1ED21A45" w14:textId="04D2CED3"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0.25</w:t>
            </w:r>
          </w:p>
        </w:tc>
        <w:tc>
          <w:tcPr>
            <w:tcW w:w="1276" w:type="dxa"/>
            <w:vAlign w:val="center"/>
          </w:tcPr>
          <w:p w14:paraId="7D468202" w14:textId="59726629"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1.00</w:t>
            </w:r>
          </w:p>
        </w:tc>
        <w:tc>
          <w:tcPr>
            <w:tcW w:w="1276" w:type="dxa"/>
            <w:shd w:val="clear" w:color="auto" w:fill="auto"/>
            <w:noWrap/>
            <w:vAlign w:val="center"/>
          </w:tcPr>
          <w:p w14:paraId="14F688BB" w14:textId="2AC735CC"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 xml:space="preserve">1.16 </w:t>
            </w:r>
          </w:p>
        </w:tc>
        <w:tc>
          <w:tcPr>
            <w:tcW w:w="1276" w:type="dxa"/>
            <w:vAlign w:val="center"/>
          </w:tcPr>
          <w:p w14:paraId="0D6B21D2" w14:textId="34D38B0A" w:rsidR="005E6617" w:rsidRPr="005B1FAC" w:rsidRDefault="0043087B" w:rsidP="001E32BA">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1.06</w:t>
            </w:r>
          </w:p>
        </w:tc>
        <w:tc>
          <w:tcPr>
            <w:tcW w:w="1276" w:type="dxa"/>
            <w:shd w:val="clear" w:color="auto" w:fill="auto"/>
            <w:noWrap/>
            <w:vAlign w:val="center"/>
          </w:tcPr>
          <w:p w14:paraId="50E8271A" w14:textId="04E330F7"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0.8</w:t>
            </w:r>
            <w:r w:rsidR="00C86F95" w:rsidRPr="005B1FAC">
              <w:rPr>
                <w:rFonts w:asciiTheme="minorHAnsi" w:hAnsiTheme="minorHAnsi" w:cstheme="minorHAnsi"/>
                <w:color w:val="000000" w:themeColor="text1"/>
                <w:sz w:val="18"/>
                <w:szCs w:val="18"/>
                <w:lang w:eastAsia="en-GB"/>
              </w:rPr>
              <w:t>7</w:t>
            </w:r>
          </w:p>
        </w:tc>
      </w:tr>
      <w:tr w:rsidR="005E6617" w:rsidRPr="003D0ADA" w14:paraId="775ECFBE" w14:textId="77777777" w:rsidTr="006A4FFD">
        <w:trPr>
          <w:trHeight w:val="360"/>
          <w:jc w:val="center"/>
        </w:trPr>
        <w:tc>
          <w:tcPr>
            <w:tcW w:w="2008" w:type="dxa"/>
            <w:shd w:val="clear" w:color="000000" w:fill="FFFFFF"/>
            <w:noWrap/>
            <w:vAlign w:val="center"/>
          </w:tcPr>
          <w:p w14:paraId="73FFBD01" w14:textId="77777777" w:rsidR="005E6617" w:rsidRPr="005B1FAC" w:rsidRDefault="005E6617" w:rsidP="005A1DD4">
            <w:pPr>
              <w:rPr>
                <w:rFonts w:asciiTheme="minorHAnsi" w:hAnsiTheme="minorHAnsi" w:cstheme="minorHAnsi"/>
                <w:sz w:val="18"/>
                <w:szCs w:val="18"/>
                <w:lang w:eastAsia="en-GB"/>
              </w:rPr>
            </w:pPr>
            <w:r w:rsidRPr="005B1FAC">
              <w:rPr>
                <w:rFonts w:asciiTheme="minorHAnsi" w:hAnsiTheme="minorHAnsi" w:cstheme="minorHAnsi"/>
                <w:sz w:val="18"/>
                <w:szCs w:val="18"/>
                <w:lang w:eastAsia="en-GB"/>
              </w:rPr>
              <w:lastRenderedPageBreak/>
              <w:t>Quick Ratio</w:t>
            </w:r>
          </w:p>
        </w:tc>
        <w:tc>
          <w:tcPr>
            <w:tcW w:w="1276" w:type="dxa"/>
            <w:vAlign w:val="center"/>
          </w:tcPr>
          <w:p w14:paraId="3502BA23" w14:textId="5E798330"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0.25</w:t>
            </w:r>
          </w:p>
        </w:tc>
        <w:tc>
          <w:tcPr>
            <w:tcW w:w="1276" w:type="dxa"/>
            <w:vAlign w:val="center"/>
          </w:tcPr>
          <w:p w14:paraId="44ABA469" w14:textId="03F2AE5D"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0.94</w:t>
            </w:r>
          </w:p>
        </w:tc>
        <w:tc>
          <w:tcPr>
            <w:tcW w:w="1276" w:type="dxa"/>
            <w:shd w:val="clear" w:color="auto" w:fill="auto"/>
            <w:noWrap/>
            <w:vAlign w:val="center"/>
          </w:tcPr>
          <w:p w14:paraId="07CF25DE" w14:textId="20EE54D7" w:rsidR="005E6617" w:rsidRPr="005B1FAC" w:rsidRDefault="0043087B"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1</w:t>
            </w:r>
            <w:r w:rsidR="005E6617" w:rsidRPr="005B1FAC">
              <w:rPr>
                <w:rFonts w:asciiTheme="minorHAnsi" w:hAnsiTheme="minorHAnsi" w:cstheme="minorHAnsi"/>
                <w:color w:val="000000" w:themeColor="text1"/>
                <w:sz w:val="18"/>
                <w:szCs w:val="18"/>
                <w:lang w:eastAsia="en-GB"/>
              </w:rPr>
              <w:t>.11</w:t>
            </w:r>
          </w:p>
        </w:tc>
        <w:tc>
          <w:tcPr>
            <w:tcW w:w="1276" w:type="dxa"/>
            <w:vAlign w:val="center"/>
          </w:tcPr>
          <w:p w14:paraId="47A19DEB" w14:textId="3289D660" w:rsidR="005E6617" w:rsidRPr="005B1FAC" w:rsidRDefault="0043087B" w:rsidP="001E32BA">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0.95</w:t>
            </w:r>
          </w:p>
        </w:tc>
        <w:tc>
          <w:tcPr>
            <w:tcW w:w="1276" w:type="dxa"/>
            <w:shd w:val="clear" w:color="auto" w:fill="auto"/>
            <w:noWrap/>
            <w:vAlign w:val="center"/>
          </w:tcPr>
          <w:p w14:paraId="30EC6155" w14:textId="1ADA1FF1"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0.</w:t>
            </w:r>
            <w:r w:rsidR="00C86F95" w:rsidRPr="005B1FAC">
              <w:rPr>
                <w:rFonts w:asciiTheme="minorHAnsi" w:hAnsiTheme="minorHAnsi" w:cstheme="minorHAnsi"/>
                <w:color w:val="000000" w:themeColor="text1"/>
                <w:sz w:val="18"/>
                <w:szCs w:val="18"/>
                <w:lang w:eastAsia="en-GB"/>
              </w:rPr>
              <w:t>81</w:t>
            </w:r>
          </w:p>
        </w:tc>
      </w:tr>
      <w:tr w:rsidR="005E6617" w:rsidRPr="003D0ADA" w14:paraId="0A084467" w14:textId="77777777" w:rsidTr="006A4FFD">
        <w:trPr>
          <w:trHeight w:val="360"/>
          <w:jc w:val="center"/>
        </w:trPr>
        <w:tc>
          <w:tcPr>
            <w:tcW w:w="2008" w:type="dxa"/>
            <w:shd w:val="clear" w:color="000000" w:fill="FFFFFF"/>
            <w:noWrap/>
            <w:vAlign w:val="center"/>
          </w:tcPr>
          <w:p w14:paraId="0B54B260" w14:textId="77777777" w:rsidR="005E6617" w:rsidRPr="005B1FAC" w:rsidRDefault="005E6617" w:rsidP="005A1DD4">
            <w:pPr>
              <w:rPr>
                <w:rFonts w:asciiTheme="minorHAnsi" w:hAnsiTheme="minorHAnsi" w:cstheme="minorHAnsi"/>
                <w:sz w:val="18"/>
                <w:szCs w:val="18"/>
                <w:lang w:eastAsia="en-GB"/>
              </w:rPr>
            </w:pPr>
            <w:r w:rsidRPr="005B1FAC">
              <w:rPr>
                <w:rFonts w:asciiTheme="minorHAnsi" w:hAnsiTheme="minorHAnsi" w:cstheme="minorHAnsi"/>
                <w:sz w:val="18"/>
                <w:szCs w:val="18"/>
                <w:lang w:eastAsia="en-GB"/>
              </w:rPr>
              <w:t>Accounts Receivable Days</w:t>
            </w:r>
          </w:p>
        </w:tc>
        <w:tc>
          <w:tcPr>
            <w:tcW w:w="1276" w:type="dxa"/>
            <w:vAlign w:val="center"/>
          </w:tcPr>
          <w:p w14:paraId="4B4BB436" w14:textId="7468AF85"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0</w:t>
            </w:r>
          </w:p>
        </w:tc>
        <w:tc>
          <w:tcPr>
            <w:tcW w:w="1276" w:type="dxa"/>
            <w:vAlign w:val="center"/>
          </w:tcPr>
          <w:p w14:paraId="324D6352" w14:textId="1AC6D1F2"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16</w:t>
            </w:r>
          </w:p>
        </w:tc>
        <w:tc>
          <w:tcPr>
            <w:tcW w:w="1276" w:type="dxa"/>
            <w:shd w:val="clear" w:color="auto" w:fill="auto"/>
            <w:noWrap/>
            <w:vAlign w:val="center"/>
          </w:tcPr>
          <w:p w14:paraId="5DE80340" w14:textId="7D94E665"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19</w:t>
            </w:r>
          </w:p>
        </w:tc>
        <w:tc>
          <w:tcPr>
            <w:tcW w:w="1276" w:type="dxa"/>
            <w:vAlign w:val="center"/>
          </w:tcPr>
          <w:p w14:paraId="50E3EF85" w14:textId="43020A06" w:rsidR="0043087B" w:rsidRPr="005B1FAC" w:rsidRDefault="0043087B" w:rsidP="0043087B">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15</w:t>
            </w:r>
          </w:p>
        </w:tc>
        <w:tc>
          <w:tcPr>
            <w:tcW w:w="1276" w:type="dxa"/>
            <w:shd w:val="clear" w:color="auto" w:fill="auto"/>
            <w:noWrap/>
            <w:vAlign w:val="center"/>
          </w:tcPr>
          <w:p w14:paraId="28D18C83" w14:textId="3D081A79"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1</w:t>
            </w:r>
            <w:r w:rsidR="00C86F95" w:rsidRPr="005B1FAC">
              <w:rPr>
                <w:rFonts w:asciiTheme="minorHAnsi" w:hAnsiTheme="minorHAnsi" w:cstheme="minorHAnsi"/>
                <w:color w:val="000000" w:themeColor="text1"/>
                <w:sz w:val="18"/>
                <w:szCs w:val="18"/>
                <w:lang w:eastAsia="en-GB"/>
              </w:rPr>
              <w:t>3</w:t>
            </w:r>
          </w:p>
        </w:tc>
      </w:tr>
      <w:tr w:rsidR="005E6617" w:rsidRPr="003D0ADA" w14:paraId="668E5AB3" w14:textId="77777777" w:rsidTr="006A4FFD">
        <w:trPr>
          <w:trHeight w:val="360"/>
          <w:jc w:val="center"/>
        </w:trPr>
        <w:tc>
          <w:tcPr>
            <w:tcW w:w="2008" w:type="dxa"/>
            <w:shd w:val="clear" w:color="000000" w:fill="FFFFFF"/>
            <w:noWrap/>
            <w:vAlign w:val="center"/>
          </w:tcPr>
          <w:p w14:paraId="7A34C97A" w14:textId="3F5F385C" w:rsidR="005E6617" w:rsidRPr="005B1FAC" w:rsidRDefault="005E6617" w:rsidP="005A1DD4">
            <w:pPr>
              <w:rPr>
                <w:rFonts w:asciiTheme="minorHAnsi" w:hAnsiTheme="minorHAnsi" w:cstheme="minorHAnsi"/>
                <w:sz w:val="18"/>
                <w:szCs w:val="18"/>
                <w:lang w:eastAsia="en-GB"/>
              </w:rPr>
            </w:pPr>
            <w:r w:rsidRPr="005B1FAC">
              <w:rPr>
                <w:rFonts w:asciiTheme="minorHAnsi" w:hAnsiTheme="minorHAnsi" w:cstheme="minorHAnsi"/>
                <w:sz w:val="18"/>
                <w:szCs w:val="18"/>
                <w:lang w:eastAsia="en-GB"/>
              </w:rPr>
              <w:t>Assets Turnover</w:t>
            </w:r>
          </w:p>
        </w:tc>
        <w:tc>
          <w:tcPr>
            <w:tcW w:w="1276" w:type="dxa"/>
            <w:vAlign w:val="center"/>
          </w:tcPr>
          <w:p w14:paraId="56225803" w14:textId="363C8577"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1.10</w:t>
            </w:r>
          </w:p>
        </w:tc>
        <w:tc>
          <w:tcPr>
            <w:tcW w:w="1276" w:type="dxa"/>
            <w:vAlign w:val="center"/>
          </w:tcPr>
          <w:p w14:paraId="7E974D51" w14:textId="4B56DDCC"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1.75</w:t>
            </w:r>
          </w:p>
        </w:tc>
        <w:tc>
          <w:tcPr>
            <w:tcW w:w="1276" w:type="dxa"/>
            <w:shd w:val="clear" w:color="auto" w:fill="auto"/>
            <w:noWrap/>
            <w:vAlign w:val="center"/>
          </w:tcPr>
          <w:p w14:paraId="0D7E21A7" w14:textId="0FB9E1FD"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1.08</w:t>
            </w:r>
          </w:p>
        </w:tc>
        <w:tc>
          <w:tcPr>
            <w:tcW w:w="1276" w:type="dxa"/>
            <w:vAlign w:val="center"/>
          </w:tcPr>
          <w:p w14:paraId="704E711B" w14:textId="40475189" w:rsidR="005E6617" w:rsidRPr="005B1FAC" w:rsidRDefault="0043087B" w:rsidP="001E32BA">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1.05</w:t>
            </w:r>
          </w:p>
        </w:tc>
        <w:tc>
          <w:tcPr>
            <w:tcW w:w="1276" w:type="dxa"/>
            <w:shd w:val="clear" w:color="auto" w:fill="auto"/>
            <w:noWrap/>
            <w:vAlign w:val="center"/>
          </w:tcPr>
          <w:p w14:paraId="3ADDB5A5" w14:textId="7AEC5717"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1.</w:t>
            </w:r>
            <w:r w:rsidR="00C86F95" w:rsidRPr="005B1FAC">
              <w:rPr>
                <w:rFonts w:asciiTheme="minorHAnsi" w:hAnsiTheme="minorHAnsi" w:cstheme="minorHAnsi"/>
                <w:color w:val="000000" w:themeColor="text1"/>
                <w:sz w:val="18"/>
                <w:szCs w:val="18"/>
                <w:lang w:eastAsia="en-GB"/>
              </w:rPr>
              <w:t>25</w:t>
            </w:r>
          </w:p>
        </w:tc>
      </w:tr>
      <w:tr w:rsidR="005E6617" w:rsidRPr="003D0ADA" w14:paraId="3BEB1BFB" w14:textId="77777777" w:rsidTr="006A4FFD">
        <w:trPr>
          <w:trHeight w:val="360"/>
          <w:jc w:val="center"/>
        </w:trPr>
        <w:tc>
          <w:tcPr>
            <w:tcW w:w="2008" w:type="dxa"/>
            <w:shd w:val="clear" w:color="000000" w:fill="FFFFFF"/>
            <w:noWrap/>
            <w:vAlign w:val="center"/>
            <w:hideMark/>
          </w:tcPr>
          <w:p w14:paraId="7E3A641C" w14:textId="77777777" w:rsidR="005E6617" w:rsidRPr="005B1FAC" w:rsidRDefault="005E6617" w:rsidP="005A1DD4">
            <w:pPr>
              <w:rPr>
                <w:rFonts w:asciiTheme="minorHAnsi" w:hAnsiTheme="minorHAnsi" w:cstheme="minorHAnsi"/>
                <w:sz w:val="18"/>
                <w:szCs w:val="18"/>
                <w:lang w:eastAsia="en-GB"/>
              </w:rPr>
            </w:pPr>
            <w:r w:rsidRPr="005B1FAC">
              <w:rPr>
                <w:rFonts w:asciiTheme="minorHAnsi" w:hAnsiTheme="minorHAnsi" w:cstheme="minorHAnsi"/>
                <w:sz w:val="18"/>
                <w:szCs w:val="18"/>
                <w:lang w:eastAsia="en-GB"/>
              </w:rPr>
              <w:t>Debt / Equity Ratio</w:t>
            </w:r>
          </w:p>
        </w:tc>
        <w:tc>
          <w:tcPr>
            <w:tcW w:w="1276" w:type="dxa"/>
            <w:vAlign w:val="center"/>
          </w:tcPr>
          <w:p w14:paraId="211F7345" w14:textId="57693971"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0.01</w:t>
            </w:r>
          </w:p>
        </w:tc>
        <w:tc>
          <w:tcPr>
            <w:tcW w:w="1276" w:type="dxa"/>
            <w:vAlign w:val="center"/>
          </w:tcPr>
          <w:p w14:paraId="4E95E386" w14:textId="5F0192F8"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0.01</w:t>
            </w:r>
          </w:p>
        </w:tc>
        <w:tc>
          <w:tcPr>
            <w:tcW w:w="1276" w:type="dxa"/>
            <w:shd w:val="clear" w:color="auto" w:fill="auto"/>
            <w:noWrap/>
            <w:vAlign w:val="center"/>
          </w:tcPr>
          <w:p w14:paraId="67467421" w14:textId="2D7E3E2C"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0.01</w:t>
            </w:r>
          </w:p>
        </w:tc>
        <w:tc>
          <w:tcPr>
            <w:tcW w:w="1276" w:type="dxa"/>
            <w:vAlign w:val="center"/>
          </w:tcPr>
          <w:p w14:paraId="59E5A9A2" w14:textId="0B0FC7F2" w:rsidR="005E6617" w:rsidRPr="005B1FAC" w:rsidRDefault="0043087B" w:rsidP="001E32BA">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0</w:t>
            </w:r>
          </w:p>
        </w:tc>
        <w:tc>
          <w:tcPr>
            <w:tcW w:w="1276" w:type="dxa"/>
            <w:shd w:val="clear" w:color="auto" w:fill="auto"/>
            <w:noWrap/>
            <w:vAlign w:val="center"/>
            <w:hideMark/>
          </w:tcPr>
          <w:p w14:paraId="14E1F7C6" w14:textId="0C55FD5E" w:rsidR="005E6617" w:rsidRPr="005B1FAC" w:rsidRDefault="005E6617" w:rsidP="005A1DD4">
            <w:pPr>
              <w:jc w:val="right"/>
              <w:rPr>
                <w:rFonts w:asciiTheme="minorHAnsi" w:hAnsiTheme="minorHAnsi" w:cstheme="minorHAnsi"/>
                <w:color w:val="000000" w:themeColor="text1"/>
                <w:sz w:val="18"/>
                <w:szCs w:val="18"/>
                <w:lang w:eastAsia="en-GB"/>
              </w:rPr>
            </w:pPr>
            <w:r w:rsidRPr="005B1FAC">
              <w:rPr>
                <w:rFonts w:asciiTheme="minorHAnsi" w:hAnsiTheme="minorHAnsi" w:cstheme="minorHAnsi"/>
                <w:color w:val="000000" w:themeColor="text1"/>
                <w:sz w:val="18"/>
                <w:szCs w:val="18"/>
                <w:lang w:eastAsia="en-GB"/>
              </w:rPr>
              <w:t>0.01</w:t>
            </w:r>
          </w:p>
        </w:tc>
      </w:tr>
    </w:tbl>
    <w:p w14:paraId="459D36BD" w14:textId="77777777" w:rsidR="005062A9" w:rsidRPr="00D25BE7" w:rsidRDefault="005062A9" w:rsidP="005062A9">
      <w:pPr>
        <w:rPr>
          <w:rFonts w:asciiTheme="minorHAnsi" w:hAnsiTheme="minorHAnsi"/>
          <w:color w:val="000000" w:themeColor="text1"/>
          <w:lang w:val="en-GB"/>
        </w:rPr>
      </w:pPr>
      <w:r w:rsidRPr="00D25BE7">
        <w:rPr>
          <w:rFonts w:asciiTheme="minorHAnsi" w:hAnsiTheme="minorHAnsi"/>
        </w:rPr>
        <w:t xml:space="preserve"> </w:t>
      </w:r>
    </w:p>
    <w:p w14:paraId="06CAF682" w14:textId="478E6478" w:rsidR="00E04DF0" w:rsidRPr="00E449AF" w:rsidRDefault="00E04DF0" w:rsidP="00E04DF0">
      <w:pPr>
        <w:pStyle w:val="ListParagraph"/>
        <w:ind w:left="426" w:hanging="426"/>
        <w:rPr>
          <w:rFonts w:asciiTheme="minorHAnsi" w:hAnsiTheme="minorHAnsi"/>
          <w:color w:val="000000" w:themeColor="text1"/>
          <w:szCs w:val="22"/>
          <w:lang w:val="en-GB"/>
        </w:rPr>
      </w:pPr>
      <w:r>
        <w:rPr>
          <w:rFonts w:asciiTheme="minorHAnsi" w:hAnsiTheme="minorHAnsi"/>
          <w:lang w:val="en-GB"/>
        </w:rPr>
        <w:t>However, a</w:t>
      </w:r>
      <w:r w:rsidRPr="00273B3D">
        <w:rPr>
          <w:rFonts w:asciiTheme="minorHAnsi" w:hAnsiTheme="minorHAnsi"/>
          <w:lang w:val="en-GB"/>
        </w:rPr>
        <w:t xml:space="preserve">s businesses, clearly there is both potential and high-risk in </w:t>
      </w:r>
      <w:r>
        <w:rPr>
          <w:rFonts w:asciiTheme="minorHAnsi" w:hAnsiTheme="minorHAnsi"/>
          <w:lang w:val="en-GB"/>
        </w:rPr>
        <w:t>hotels and casinos</w:t>
      </w:r>
      <w:r w:rsidRPr="00273B3D">
        <w:rPr>
          <w:rFonts w:asciiTheme="minorHAnsi" w:hAnsiTheme="minorHAnsi"/>
          <w:lang w:val="en-GB"/>
        </w:rPr>
        <w:t xml:space="preserve"> </w:t>
      </w:r>
      <w:r>
        <w:rPr>
          <w:rFonts w:asciiTheme="minorHAnsi" w:hAnsiTheme="minorHAnsi"/>
          <w:lang w:val="en-GB"/>
        </w:rPr>
        <w:t>yet</w:t>
      </w:r>
      <w:r w:rsidRPr="00273B3D">
        <w:rPr>
          <w:rFonts w:asciiTheme="minorHAnsi" w:hAnsiTheme="minorHAnsi"/>
          <w:lang w:val="en-GB"/>
        </w:rPr>
        <w:t xml:space="preserve"> there is little evident expertise within Government or LNDC to add real value. Thus, dependency on a shareholding partner and under a complex management agreement expose</w:t>
      </w:r>
      <w:r w:rsidRPr="00CF1757">
        <w:rPr>
          <w:rFonts w:asciiTheme="minorHAnsi" w:hAnsiTheme="minorHAnsi"/>
          <w:lang w:val="en-GB"/>
        </w:rPr>
        <w:t xml:space="preserve">s Government (and LNDC) to the vagaries of such business outcomes and results. </w:t>
      </w:r>
    </w:p>
    <w:p w14:paraId="7D436915" w14:textId="254EDEAE" w:rsidR="00273B3D" w:rsidRPr="00713392" w:rsidRDefault="00E04DF0" w:rsidP="00713392">
      <w:pPr>
        <w:pStyle w:val="ListParagraph"/>
        <w:ind w:left="426" w:hanging="426"/>
        <w:rPr>
          <w:rFonts w:asciiTheme="minorHAnsi" w:hAnsiTheme="minorHAnsi"/>
          <w:lang w:val="en-GB"/>
        </w:rPr>
      </w:pPr>
      <w:r w:rsidRPr="00D25BE7">
        <w:rPr>
          <w:rFonts w:asciiTheme="minorHAnsi" w:hAnsiTheme="minorHAnsi"/>
          <w:lang w:val="en-GB"/>
        </w:rPr>
        <w:t xml:space="preserve">Hotel management and casinos are strongly cash-based operations, yet the </w:t>
      </w:r>
      <w:r w:rsidR="00987ACB">
        <w:rPr>
          <w:rFonts w:asciiTheme="minorHAnsi" w:hAnsiTheme="minorHAnsi"/>
          <w:lang w:val="en-GB"/>
        </w:rPr>
        <w:t>C</w:t>
      </w:r>
      <w:r w:rsidRPr="00D25BE7">
        <w:rPr>
          <w:rFonts w:asciiTheme="minorHAnsi" w:hAnsiTheme="minorHAnsi"/>
          <w:lang w:val="en-GB"/>
        </w:rPr>
        <w:t xml:space="preserve">urrent </w:t>
      </w:r>
      <w:r w:rsidR="00987ACB">
        <w:rPr>
          <w:rFonts w:asciiTheme="minorHAnsi" w:hAnsiTheme="minorHAnsi"/>
          <w:lang w:val="en-GB"/>
        </w:rPr>
        <w:t>R</w:t>
      </w:r>
      <w:r w:rsidRPr="00D25BE7">
        <w:rPr>
          <w:rFonts w:asciiTheme="minorHAnsi" w:hAnsiTheme="minorHAnsi"/>
          <w:lang w:val="en-GB"/>
        </w:rPr>
        <w:t xml:space="preserve">atio is low and liabilities quite high. Unless a significant improvement in sharing information about performance and business planning can be made, Government remains vulnerable in its majority stake in this business group and fiscal risk is high. </w:t>
      </w:r>
    </w:p>
    <w:p w14:paraId="331D11DF" w14:textId="77777777" w:rsidR="00273B3D" w:rsidRPr="005D564C" w:rsidRDefault="00273B3D" w:rsidP="005D564C">
      <w:pPr>
        <w:ind w:left="928" w:hanging="360"/>
        <w:rPr>
          <w:rFonts w:asciiTheme="minorHAnsi" w:hAnsiTheme="minorHAnsi"/>
          <w:lang w:val="en-GB"/>
        </w:rPr>
      </w:pPr>
    </w:p>
    <w:p w14:paraId="55A1A336" w14:textId="1524E2F3" w:rsidR="000F2FE6" w:rsidRPr="0098158E" w:rsidRDefault="00E07DE3" w:rsidP="000F2FE6">
      <w:pPr>
        <w:pStyle w:val="ListParagraph"/>
        <w:ind w:left="567" w:hanging="567"/>
        <w:rPr>
          <w:rFonts w:asciiTheme="minorHAnsi" w:hAnsiTheme="minorHAnsi"/>
          <w:lang w:val="en-GB"/>
        </w:rPr>
      </w:pPr>
      <w:r w:rsidRPr="005B1FAC">
        <w:rPr>
          <w:rFonts w:asciiTheme="minorHAnsi" w:hAnsiTheme="minorHAnsi"/>
          <w:b/>
          <w:sz w:val="24"/>
          <w:szCs w:val="24"/>
          <w:lang w:val="en-GB"/>
        </w:rPr>
        <w:t>Lesotho Housing &amp; Land Development Corporation</w:t>
      </w:r>
      <w:r w:rsidRPr="00D25BE7">
        <w:rPr>
          <w:rFonts w:asciiTheme="minorHAnsi" w:hAnsiTheme="minorHAnsi"/>
          <w:lang w:val="en-GB"/>
        </w:rPr>
        <w:t xml:space="preserve"> </w:t>
      </w:r>
      <w:r w:rsidR="009C6CAA">
        <w:rPr>
          <w:rFonts w:asciiTheme="minorHAnsi" w:hAnsiTheme="minorHAnsi"/>
          <w:lang w:val="en-GB"/>
        </w:rPr>
        <w:t xml:space="preserve"> - </w:t>
      </w:r>
      <w:r w:rsidR="009C6CAA" w:rsidRPr="00D25BE7">
        <w:rPr>
          <w:rFonts w:asciiTheme="minorHAnsi" w:hAnsiTheme="minorHAnsi"/>
          <w:lang w:val="en-GB"/>
        </w:rPr>
        <w:t>Government controls LHLDC</w:t>
      </w:r>
      <w:r w:rsidRPr="00D25BE7">
        <w:rPr>
          <w:rFonts w:asciiTheme="minorHAnsi" w:hAnsiTheme="minorHAnsi"/>
          <w:lang w:val="en-GB"/>
        </w:rPr>
        <w:t xml:space="preserve"> with a 75% direct shareholding and LNDC holding 25</w:t>
      </w:r>
      <w:r w:rsidRPr="0098158E">
        <w:rPr>
          <w:rFonts w:asciiTheme="minorHAnsi" w:hAnsiTheme="minorHAnsi"/>
          <w:lang w:val="en-GB"/>
        </w:rPr>
        <w:t xml:space="preserve">%. </w:t>
      </w:r>
      <w:r w:rsidR="00F56CE4" w:rsidRPr="00713392">
        <w:rPr>
          <w:rFonts w:asciiTheme="minorHAnsi" w:hAnsiTheme="minorHAnsi"/>
          <w:lang w:val="en-GB"/>
        </w:rPr>
        <w:t>No data available for recent years.</w:t>
      </w:r>
      <w:r w:rsidR="00572065" w:rsidRPr="00713392">
        <w:rPr>
          <w:rFonts w:asciiTheme="minorHAnsi" w:hAnsiTheme="minorHAnsi"/>
          <w:lang w:val="en-GB"/>
        </w:rPr>
        <w:t xml:space="preserve"> According to the </w:t>
      </w:r>
      <w:r w:rsidR="002B161C">
        <w:rPr>
          <w:rFonts w:asciiTheme="minorHAnsi" w:hAnsiTheme="minorHAnsi"/>
          <w:lang w:val="en-GB"/>
        </w:rPr>
        <w:t>Office</w:t>
      </w:r>
      <w:r w:rsidR="002B161C" w:rsidRPr="00713392">
        <w:rPr>
          <w:rFonts w:asciiTheme="minorHAnsi" w:hAnsiTheme="minorHAnsi"/>
          <w:lang w:val="en-GB"/>
        </w:rPr>
        <w:t xml:space="preserve"> </w:t>
      </w:r>
      <w:r w:rsidR="00572065" w:rsidRPr="00713392">
        <w:rPr>
          <w:rFonts w:asciiTheme="minorHAnsi" w:hAnsiTheme="minorHAnsi"/>
          <w:lang w:val="en-GB"/>
        </w:rPr>
        <w:t xml:space="preserve">of the Auditor-General the Financial Statements for audits for 2011/12 to </w:t>
      </w:r>
      <w:r w:rsidR="00F76ABC">
        <w:rPr>
          <w:rFonts w:asciiTheme="minorHAnsi" w:hAnsiTheme="minorHAnsi"/>
          <w:lang w:val="en-GB"/>
        </w:rPr>
        <w:t>2013/14 were issued on the 19</w:t>
      </w:r>
      <w:r w:rsidR="00F76ABC" w:rsidRPr="005B1FAC">
        <w:rPr>
          <w:rFonts w:asciiTheme="minorHAnsi" w:hAnsiTheme="minorHAnsi"/>
          <w:vertAlign w:val="superscript"/>
          <w:lang w:val="en-GB"/>
        </w:rPr>
        <w:t>th</w:t>
      </w:r>
      <w:r w:rsidR="00F76ABC">
        <w:rPr>
          <w:rFonts w:asciiTheme="minorHAnsi" w:hAnsiTheme="minorHAnsi"/>
          <w:lang w:val="en-GB"/>
        </w:rPr>
        <w:t xml:space="preserve"> of July 2019.  AFS for </w:t>
      </w:r>
      <w:r w:rsidR="00572065" w:rsidRPr="00713392">
        <w:rPr>
          <w:rFonts w:asciiTheme="minorHAnsi" w:hAnsiTheme="minorHAnsi"/>
          <w:lang w:val="en-GB"/>
        </w:rPr>
        <w:t xml:space="preserve">2015/16 </w:t>
      </w:r>
      <w:r w:rsidR="00F76ABC">
        <w:rPr>
          <w:rFonts w:asciiTheme="minorHAnsi" w:hAnsiTheme="minorHAnsi"/>
          <w:lang w:val="en-GB"/>
        </w:rPr>
        <w:t xml:space="preserve">and 2016/17 </w:t>
      </w:r>
      <w:r w:rsidR="00572065" w:rsidRPr="00713392">
        <w:rPr>
          <w:rFonts w:asciiTheme="minorHAnsi" w:hAnsiTheme="minorHAnsi"/>
          <w:lang w:val="en-GB"/>
        </w:rPr>
        <w:t>are in progress</w:t>
      </w:r>
      <w:r w:rsidR="00987ACB">
        <w:rPr>
          <w:rFonts w:asciiTheme="minorHAnsi" w:hAnsiTheme="minorHAnsi"/>
          <w:lang w:val="en-GB"/>
        </w:rPr>
        <w:t>.</w:t>
      </w:r>
      <w:r w:rsidR="00572065" w:rsidRPr="00713392">
        <w:rPr>
          <w:rFonts w:asciiTheme="minorHAnsi" w:hAnsiTheme="minorHAnsi"/>
          <w:lang w:val="en-GB"/>
        </w:rPr>
        <w:t xml:space="preserve"> </w:t>
      </w:r>
      <w:r w:rsidR="00987ACB">
        <w:rPr>
          <w:rFonts w:asciiTheme="minorHAnsi" w:hAnsiTheme="minorHAnsi"/>
          <w:lang w:val="en-GB"/>
        </w:rPr>
        <w:t>T</w:t>
      </w:r>
      <w:r w:rsidR="00987ACB" w:rsidRPr="00713392">
        <w:rPr>
          <w:rFonts w:asciiTheme="minorHAnsi" w:hAnsiTheme="minorHAnsi"/>
          <w:lang w:val="en-GB"/>
        </w:rPr>
        <w:t xml:space="preserve">here </w:t>
      </w:r>
      <w:r w:rsidR="00281D6A" w:rsidRPr="00713392">
        <w:rPr>
          <w:rFonts w:asciiTheme="minorHAnsi" w:hAnsiTheme="minorHAnsi"/>
          <w:lang w:val="en-GB"/>
        </w:rPr>
        <w:t xml:space="preserve">has been no submission for </w:t>
      </w:r>
      <w:r w:rsidR="00572065" w:rsidRPr="00713392">
        <w:rPr>
          <w:rFonts w:asciiTheme="minorHAnsi" w:hAnsiTheme="minorHAnsi"/>
          <w:lang w:val="en-GB"/>
        </w:rPr>
        <w:t>2017/18</w:t>
      </w:r>
      <w:r w:rsidR="00281D6A" w:rsidRPr="00713392">
        <w:rPr>
          <w:rFonts w:asciiTheme="minorHAnsi" w:hAnsiTheme="minorHAnsi"/>
          <w:lang w:val="en-GB"/>
        </w:rPr>
        <w:t>.</w:t>
      </w:r>
    </w:p>
    <w:p w14:paraId="2B636DBA" w14:textId="77777777" w:rsidR="000F2FE6" w:rsidRPr="00D25BE7" w:rsidRDefault="000F2FE6" w:rsidP="000F2FE6">
      <w:pPr>
        <w:pStyle w:val="ListParagraph"/>
        <w:ind w:left="567" w:hanging="567"/>
        <w:rPr>
          <w:rFonts w:asciiTheme="minorHAnsi" w:hAnsiTheme="minorHAnsi"/>
          <w:lang w:val="en-GB"/>
        </w:rPr>
      </w:pPr>
      <w:r w:rsidRPr="00D25BE7">
        <w:rPr>
          <w:rFonts w:asciiTheme="minorHAnsi" w:hAnsiTheme="minorHAnsi"/>
          <w:lang w:val="en-GB"/>
        </w:rPr>
        <w:t xml:space="preserve">LHLDC is a merger between the Lower Income Housing Company (LEHCO-OP) (low income sector) and Lesotho Housing Corporation (LHC) (middle income sector), and its purpose is to assist all Basotho by providing shelter and housing. The principal business of LHLDC is to build houses for sale and the provision of rental accommodation and serviced sites for residential and commercial purposes. </w:t>
      </w:r>
    </w:p>
    <w:p w14:paraId="0236E484" w14:textId="1EE67AFD" w:rsidR="000F2FE6" w:rsidRPr="00D25BE7" w:rsidRDefault="000F2FE6" w:rsidP="000F2FE6">
      <w:pPr>
        <w:pStyle w:val="ListParagraph"/>
        <w:ind w:left="567" w:hanging="567"/>
        <w:rPr>
          <w:rFonts w:asciiTheme="minorHAnsi" w:hAnsiTheme="minorHAnsi"/>
          <w:lang w:val="en-GB"/>
        </w:rPr>
      </w:pPr>
      <w:r w:rsidRPr="00D25BE7">
        <w:rPr>
          <w:rFonts w:asciiTheme="minorHAnsi" w:hAnsiTheme="minorHAnsi" w:cs="Arial"/>
          <w:lang w:val="en-GB"/>
        </w:rPr>
        <w:t xml:space="preserve">The LHLDC performs the following functions: Increase the supply of shelter and help meet the housing requirements of Lesotho as determined by Government and the local authorities by; Implementing on a self-financing basis a broad array of schemes including self-help housing, sites and services, land development, and cooperative housing; Assisting private parties to develop land and deliver housing; Engaging in the development and management of rental housing schemes where it is deemed to be in the economic interest of LHLDC to manage the property; Assisting in the mobilization of capital available to the shelter sector by emphasizing in its activities efficiency and cost recovery programmes to ensure a good return on investment; and developing a long-term capital programme that will assure the LHLDC’s continuing financial viability and ability to remain a vital participant in Lesotho`s shelter sector. </w:t>
      </w:r>
    </w:p>
    <w:p w14:paraId="659D4CC6" w14:textId="6736A45B" w:rsidR="00E07DE3" w:rsidRPr="00D25BE7" w:rsidRDefault="00E07DE3" w:rsidP="005D564C">
      <w:pPr>
        <w:pStyle w:val="ListParagraph"/>
        <w:ind w:left="567" w:hanging="567"/>
        <w:rPr>
          <w:color w:val="000000" w:themeColor="text1"/>
          <w:szCs w:val="22"/>
          <w:lang w:val="en-GB"/>
        </w:rPr>
      </w:pPr>
      <w:r w:rsidRPr="00D25BE7">
        <w:rPr>
          <w:rFonts w:asciiTheme="minorHAnsi" w:hAnsiTheme="minorHAnsi"/>
          <w:lang w:val="en-GB"/>
        </w:rPr>
        <w:t xml:space="preserve">The performance for LHLDC is </w:t>
      </w:r>
      <w:r w:rsidR="00805202" w:rsidRPr="00D25BE7">
        <w:rPr>
          <w:rFonts w:asciiTheme="minorHAnsi" w:hAnsiTheme="minorHAnsi"/>
          <w:lang w:val="en-GB"/>
        </w:rPr>
        <w:t xml:space="preserve">not known as no information is available to PSD. </w:t>
      </w:r>
      <w:r w:rsidRPr="00D25BE7">
        <w:rPr>
          <w:rFonts w:asciiTheme="minorHAnsi" w:hAnsiTheme="minorHAnsi"/>
          <w:lang w:val="en-GB"/>
        </w:rPr>
        <w:t xml:space="preserve"> </w:t>
      </w:r>
      <w:r w:rsidR="00805202" w:rsidRPr="00D25BE7">
        <w:rPr>
          <w:rFonts w:asciiTheme="minorHAnsi" w:hAnsiTheme="minorHAnsi"/>
          <w:lang w:val="en-GB"/>
        </w:rPr>
        <w:t>This situation must be improved with urgency so that reasonable analysis can be made of the performance and fiscal risk to Government.</w:t>
      </w:r>
    </w:p>
    <w:p w14:paraId="3CA488F9" w14:textId="364C2248" w:rsidR="00E07DE3" w:rsidRPr="00D25BE7" w:rsidRDefault="00E07DE3" w:rsidP="00E07DE3">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lastRenderedPageBreak/>
        <w:t>Relevant performance data for FY’1</w:t>
      </w:r>
      <w:r w:rsidR="00CC4FE3">
        <w:rPr>
          <w:rFonts w:asciiTheme="minorHAnsi" w:hAnsiTheme="minorHAnsi"/>
          <w:color w:val="000000" w:themeColor="text1"/>
          <w:lang w:val="en-GB"/>
        </w:rPr>
        <w:t>8</w:t>
      </w:r>
      <w:r w:rsidRPr="00D25BE7">
        <w:rPr>
          <w:rFonts w:asciiTheme="minorHAnsi" w:hAnsiTheme="minorHAnsi"/>
          <w:color w:val="000000" w:themeColor="text1"/>
          <w:lang w:val="en-GB"/>
        </w:rPr>
        <w:t xml:space="preserve"> is:</w:t>
      </w:r>
    </w:p>
    <w:p w14:paraId="0F279526" w14:textId="22F9DD99" w:rsidR="00E07DE3" w:rsidRPr="005D564C" w:rsidRDefault="00E07DE3" w:rsidP="00E07DE3">
      <w:pPr>
        <w:rPr>
          <w:rFonts w:asciiTheme="minorHAnsi" w:hAnsiTheme="minorHAnsi"/>
          <w:b/>
          <w:sz w:val="20"/>
          <w:lang w:val="en-GB"/>
        </w:rPr>
      </w:pPr>
      <w:r w:rsidRPr="00713392">
        <w:rPr>
          <w:rFonts w:asciiTheme="minorHAnsi" w:hAnsiTheme="minorHAnsi"/>
          <w:b/>
          <w:sz w:val="20"/>
          <w:lang w:val="en-GB"/>
        </w:rPr>
        <w:t xml:space="preserve">Table </w:t>
      </w:r>
      <w:r w:rsidR="0098158E" w:rsidRPr="00713392">
        <w:rPr>
          <w:rFonts w:asciiTheme="minorHAnsi" w:hAnsiTheme="minorHAnsi"/>
          <w:b/>
          <w:sz w:val="20"/>
          <w:lang w:val="en-GB"/>
        </w:rPr>
        <w:t>21</w:t>
      </w:r>
      <w:r w:rsidRPr="00713392">
        <w:rPr>
          <w:rFonts w:asciiTheme="minorHAnsi" w:hAnsiTheme="minorHAnsi"/>
          <w:b/>
          <w:sz w:val="20"/>
          <w:lang w:val="en-GB"/>
        </w:rPr>
        <w:t>: Performance Highlights – LHLDC</w:t>
      </w:r>
    </w:p>
    <w:p w14:paraId="535A3962" w14:textId="77777777" w:rsidR="00CC4FE3" w:rsidRPr="00D25BE7" w:rsidRDefault="00CC4FE3" w:rsidP="00E07DE3">
      <w:pPr>
        <w:rPr>
          <w:rFonts w:asciiTheme="minorHAnsi" w:hAnsiTheme="minorHAnsi"/>
          <w:sz w:val="18"/>
          <w:szCs w:val="18"/>
          <w:lang w:val="en-GB"/>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9"/>
        <w:gridCol w:w="1286"/>
        <w:gridCol w:w="1287"/>
        <w:gridCol w:w="1287"/>
        <w:gridCol w:w="1287"/>
        <w:gridCol w:w="1287"/>
      </w:tblGrid>
      <w:tr w:rsidR="005E6617" w:rsidRPr="005E3B3C" w14:paraId="15B151C8" w14:textId="77777777" w:rsidTr="005E3B3C">
        <w:trPr>
          <w:trHeight w:val="360"/>
          <w:tblHeader/>
          <w:jc w:val="center"/>
        </w:trPr>
        <w:tc>
          <w:tcPr>
            <w:tcW w:w="2029" w:type="dxa"/>
            <w:shd w:val="clear" w:color="auto" w:fill="D9D9D9" w:themeFill="background1" w:themeFillShade="D9"/>
            <w:noWrap/>
            <w:vAlign w:val="center"/>
            <w:hideMark/>
          </w:tcPr>
          <w:p w14:paraId="7C917A5D" w14:textId="77777777" w:rsidR="005E6617" w:rsidRPr="005E3B3C" w:rsidRDefault="005E6617" w:rsidP="005A1DD4">
            <w:pPr>
              <w:ind w:firstLine="42"/>
              <w:rPr>
                <w:rFonts w:asciiTheme="minorHAnsi" w:hAnsiTheme="minorHAnsi"/>
                <w:sz w:val="18"/>
                <w:szCs w:val="18"/>
                <w:lang w:eastAsia="en-GB"/>
              </w:rPr>
            </w:pPr>
            <w:r w:rsidRPr="005E3B3C">
              <w:rPr>
                <w:rFonts w:asciiTheme="minorHAnsi" w:hAnsiTheme="minorHAnsi"/>
                <w:sz w:val="18"/>
                <w:szCs w:val="18"/>
                <w:lang w:eastAsia="en-GB"/>
              </w:rPr>
              <w:t>Performance Highlights (M '000)</w:t>
            </w:r>
          </w:p>
        </w:tc>
        <w:tc>
          <w:tcPr>
            <w:tcW w:w="1286" w:type="dxa"/>
            <w:shd w:val="clear" w:color="auto" w:fill="D9D9D9" w:themeFill="background1" w:themeFillShade="D9"/>
            <w:vAlign w:val="center"/>
          </w:tcPr>
          <w:p w14:paraId="74103E63" w14:textId="77777777" w:rsidR="005E6617" w:rsidRPr="005E3B3C" w:rsidRDefault="005E6617" w:rsidP="005A1DD4">
            <w:pPr>
              <w:jc w:val="center"/>
              <w:rPr>
                <w:rFonts w:asciiTheme="minorHAnsi" w:hAnsiTheme="minorHAnsi" w:cstheme="minorHAnsi"/>
                <w:b/>
                <w:bCs/>
                <w:color w:val="000000"/>
                <w:sz w:val="18"/>
                <w:szCs w:val="18"/>
                <w:lang w:eastAsia="en-GB"/>
              </w:rPr>
            </w:pPr>
            <w:r w:rsidRPr="005E3B3C">
              <w:rPr>
                <w:rFonts w:asciiTheme="minorHAnsi" w:hAnsiTheme="minorHAnsi" w:cstheme="minorHAnsi"/>
                <w:b/>
                <w:bCs/>
                <w:sz w:val="18"/>
                <w:szCs w:val="18"/>
                <w:lang w:eastAsia="en-GB"/>
              </w:rPr>
              <w:t>2014/15</w:t>
            </w:r>
          </w:p>
        </w:tc>
        <w:tc>
          <w:tcPr>
            <w:tcW w:w="1287" w:type="dxa"/>
            <w:shd w:val="clear" w:color="auto" w:fill="D9D9D9" w:themeFill="background1" w:themeFillShade="D9"/>
            <w:vAlign w:val="center"/>
          </w:tcPr>
          <w:p w14:paraId="2E365EDE" w14:textId="77777777" w:rsidR="005E6617" w:rsidRPr="005E3B3C" w:rsidRDefault="005E6617" w:rsidP="005A1DD4">
            <w:pPr>
              <w:jc w:val="center"/>
              <w:rPr>
                <w:rFonts w:asciiTheme="minorHAnsi" w:hAnsiTheme="minorHAnsi" w:cstheme="minorHAnsi"/>
                <w:b/>
                <w:bCs/>
                <w:color w:val="000000"/>
                <w:sz w:val="18"/>
                <w:szCs w:val="18"/>
                <w:lang w:eastAsia="en-GB"/>
              </w:rPr>
            </w:pPr>
            <w:r w:rsidRPr="005E3B3C">
              <w:rPr>
                <w:rFonts w:asciiTheme="minorHAnsi" w:hAnsiTheme="minorHAnsi" w:cstheme="minorHAnsi"/>
                <w:b/>
                <w:bCs/>
                <w:sz w:val="18"/>
                <w:szCs w:val="18"/>
                <w:lang w:eastAsia="en-GB"/>
              </w:rPr>
              <w:t>2015/16</w:t>
            </w:r>
          </w:p>
        </w:tc>
        <w:tc>
          <w:tcPr>
            <w:tcW w:w="1287" w:type="dxa"/>
            <w:shd w:val="clear" w:color="auto" w:fill="D9D9D9" w:themeFill="background1" w:themeFillShade="D9"/>
            <w:vAlign w:val="center"/>
            <w:hideMark/>
          </w:tcPr>
          <w:p w14:paraId="76E22AB6" w14:textId="77777777" w:rsidR="005E6617" w:rsidRPr="005E3B3C" w:rsidRDefault="005E6617" w:rsidP="005A1DD4">
            <w:pPr>
              <w:jc w:val="center"/>
              <w:rPr>
                <w:rFonts w:asciiTheme="minorHAnsi" w:hAnsiTheme="minorHAnsi" w:cstheme="minorHAnsi"/>
                <w:b/>
                <w:bCs/>
                <w:sz w:val="18"/>
                <w:szCs w:val="18"/>
                <w:lang w:eastAsia="en-GB"/>
              </w:rPr>
            </w:pPr>
            <w:r w:rsidRPr="005E3B3C">
              <w:rPr>
                <w:rFonts w:asciiTheme="minorHAnsi" w:hAnsiTheme="minorHAnsi" w:cstheme="minorHAnsi"/>
                <w:b/>
                <w:bCs/>
                <w:sz w:val="18"/>
                <w:szCs w:val="18"/>
                <w:lang w:eastAsia="en-GB"/>
              </w:rPr>
              <w:t>2016/17</w:t>
            </w:r>
          </w:p>
        </w:tc>
        <w:tc>
          <w:tcPr>
            <w:tcW w:w="1287" w:type="dxa"/>
            <w:shd w:val="clear" w:color="auto" w:fill="D9D9D9" w:themeFill="background1" w:themeFillShade="D9"/>
            <w:vAlign w:val="center"/>
          </w:tcPr>
          <w:p w14:paraId="3776C287" w14:textId="33360167" w:rsidR="005E6617" w:rsidRPr="005E3B3C" w:rsidRDefault="005E6617" w:rsidP="005A1DD4">
            <w:pPr>
              <w:jc w:val="center"/>
              <w:rPr>
                <w:rFonts w:asciiTheme="minorHAnsi" w:hAnsiTheme="minorHAnsi" w:cstheme="minorHAnsi"/>
                <w:b/>
                <w:bCs/>
                <w:color w:val="000000"/>
                <w:sz w:val="18"/>
                <w:szCs w:val="18"/>
                <w:lang w:eastAsia="en-GB"/>
              </w:rPr>
            </w:pPr>
            <w:r w:rsidRPr="005E3B3C">
              <w:rPr>
                <w:rFonts w:asciiTheme="minorHAnsi" w:hAnsiTheme="minorHAnsi" w:cstheme="minorHAnsi"/>
                <w:b/>
                <w:bCs/>
                <w:sz w:val="18"/>
                <w:szCs w:val="18"/>
                <w:lang w:eastAsia="en-GB"/>
              </w:rPr>
              <w:t>2017/18</w:t>
            </w:r>
          </w:p>
        </w:tc>
        <w:tc>
          <w:tcPr>
            <w:tcW w:w="1287" w:type="dxa"/>
            <w:shd w:val="clear" w:color="auto" w:fill="D9D9D9" w:themeFill="background1" w:themeFillShade="D9"/>
            <w:noWrap/>
            <w:vAlign w:val="center"/>
            <w:hideMark/>
          </w:tcPr>
          <w:p w14:paraId="5D8D6D92" w14:textId="723989CE" w:rsidR="005E6617" w:rsidRPr="005E3B3C" w:rsidRDefault="005E6617" w:rsidP="005A1DD4">
            <w:pPr>
              <w:jc w:val="center"/>
              <w:rPr>
                <w:rFonts w:asciiTheme="minorHAnsi" w:hAnsiTheme="minorHAnsi" w:cstheme="minorHAnsi"/>
                <w:b/>
                <w:bCs/>
                <w:color w:val="000000"/>
                <w:sz w:val="18"/>
                <w:szCs w:val="18"/>
                <w:lang w:eastAsia="en-GB"/>
              </w:rPr>
            </w:pPr>
            <w:r w:rsidRPr="005E3B3C">
              <w:rPr>
                <w:rFonts w:asciiTheme="minorHAnsi" w:hAnsiTheme="minorHAnsi" w:cstheme="minorHAnsi"/>
                <w:b/>
                <w:bCs/>
                <w:color w:val="000000"/>
                <w:sz w:val="18"/>
                <w:szCs w:val="18"/>
                <w:lang w:eastAsia="en-GB"/>
              </w:rPr>
              <w:t>4-yr Average</w:t>
            </w:r>
          </w:p>
        </w:tc>
      </w:tr>
      <w:tr w:rsidR="005E6617" w:rsidRPr="005E3B3C" w14:paraId="47EB050B" w14:textId="77777777" w:rsidTr="005E3B3C">
        <w:trPr>
          <w:trHeight w:val="360"/>
          <w:jc w:val="center"/>
        </w:trPr>
        <w:tc>
          <w:tcPr>
            <w:tcW w:w="2029" w:type="dxa"/>
            <w:shd w:val="clear" w:color="000000" w:fill="FFFFFF"/>
            <w:noWrap/>
            <w:vAlign w:val="center"/>
            <w:hideMark/>
          </w:tcPr>
          <w:p w14:paraId="4E9B3408" w14:textId="77777777" w:rsidR="005E6617" w:rsidRPr="005E3B3C" w:rsidRDefault="005E6617" w:rsidP="005A1DD4">
            <w:pPr>
              <w:rPr>
                <w:rFonts w:asciiTheme="minorHAnsi" w:hAnsiTheme="minorHAnsi" w:cstheme="minorHAnsi"/>
                <w:sz w:val="18"/>
                <w:szCs w:val="18"/>
                <w:lang w:eastAsia="en-GB"/>
              </w:rPr>
            </w:pPr>
            <w:r w:rsidRPr="005E3B3C">
              <w:rPr>
                <w:rFonts w:asciiTheme="minorHAnsi" w:hAnsiTheme="minorHAnsi" w:cstheme="minorHAnsi"/>
                <w:sz w:val="18"/>
                <w:szCs w:val="18"/>
                <w:lang w:eastAsia="en-GB"/>
              </w:rPr>
              <w:t>Total Revenue</w:t>
            </w:r>
          </w:p>
        </w:tc>
        <w:tc>
          <w:tcPr>
            <w:tcW w:w="1286" w:type="dxa"/>
            <w:vAlign w:val="center"/>
          </w:tcPr>
          <w:p w14:paraId="3327F099"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vAlign w:val="center"/>
          </w:tcPr>
          <w:p w14:paraId="1E45E152"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79E1C20E"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tcPr>
          <w:p w14:paraId="54981D4F"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64DE86EC" w14:textId="6211813E"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r>
      <w:tr w:rsidR="005E6617" w:rsidRPr="005E3B3C" w14:paraId="63B5249F" w14:textId="77777777" w:rsidTr="005E3B3C">
        <w:trPr>
          <w:trHeight w:val="360"/>
          <w:jc w:val="center"/>
        </w:trPr>
        <w:tc>
          <w:tcPr>
            <w:tcW w:w="2029" w:type="dxa"/>
            <w:shd w:val="clear" w:color="000000" w:fill="FFFFFF"/>
            <w:noWrap/>
            <w:vAlign w:val="center"/>
            <w:hideMark/>
          </w:tcPr>
          <w:p w14:paraId="1E2D53C2" w14:textId="77777777" w:rsidR="005E6617" w:rsidRPr="005E3B3C" w:rsidRDefault="005E6617" w:rsidP="005A1DD4">
            <w:pPr>
              <w:rPr>
                <w:rFonts w:asciiTheme="minorHAnsi" w:hAnsiTheme="minorHAnsi" w:cstheme="minorHAnsi"/>
                <w:sz w:val="18"/>
                <w:szCs w:val="18"/>
                <w:lang w:eastAsia="en-GB"/>
              </w:rPr>
            </w:pPr>
            <w:r w:rsidRPr="005E3B3C">
              <w:rPr>
                <w:rFonts w:asciiTheme="minorHAnsi" w:hAnsiTheme="minorHAnsi" w:cstheme="minorHAnsi"/>
                <w:sz w:val="18"/>
                <w:szCs w:val="18"/>
                <w:lang w:eastAsia="en-GB"/>
              </w:rPr>
              <w:t>Net Operating Profit After Tax</w:t>
            </w:r>
          </w:p>
        </w:tc>
        <w:tc>
          <w:tcPr>
            <w:tcW w:w="1286" w:type="dxa"/>
            <w:vAlign w:val="center"/>
          </w:tcPr>
          <w:p w14:paraId="4BF30E5F" w14:textId="77777777" w:rsidR="005E6617" w:rsidRPr="005E3B3C" w:rsidRDefault="005E6617" w:rsidP="005A1DD4">
            <w:pPr>
              <w:spacing w:before="120"/>
              <w:jc w:val="right"/>
              <w:rPr>
                <w:rFonts w:asciiTheme="minorHAnsi" w:hAnsiTheme="minorHAnsi" w:cstheme="minorHAnsi"/>
                <w:color w:val="FF0000"/>
                <w:sz w:val="18"/>
                <w:szCs w:val="18"/>
                <w:lang w:eastAsia="en-GB"/>
              </w:rPr>
            </w:pPr>
          </w:p>
        </w:tc>
        <w:tc>
          <w:tcPr>
            <w:tcW w:w="1287" w:type="dxa"/>
            <w:vAlign w:val="center"/>
          </w:tcPr>
          <w:p w14:paraId="467B24A2" w14:textId="77777777" w:rsidR="005E6617" w:rsidRPr="005E3B3C" w:rsidRDefault="005E6617" w:rsidP="005A1DD4">
            <w:pPr>
              <w:spacing w:before="120"/>
              <w:jc w:val="right"/>
              <w:rPr>
                <w:rFonts w:asciiTheme="minorHAnsi" w:hAnsiTheme="minorHAnsi" w:cstheme="minorHAnsi"/>
                <w:color w:val="FF0000"/>
                <w:sz w:val="18"/>
                <w:szCs w:val="18"/>
                <w:lang w:eastAsia="en-GB"/>
              </w:rPr>
            </w:pPr>
          </w:p>
        </w:tc>
        <w:tc>
          <w:tcPr>
            <w:tcW w:w="1287" w:type="dxa"/>
            <w:shd w:val="clear" w:color="auto" w:fill="auto"/>
            <w:noWrap/>
            <w:vAlign w:val="center"/>
            <w:hideMark/>
          </w:tcPr>
          <w:p w14:paraId="7D3937AF"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tcPr>
          <w:p w14:paraId="7C2A911B"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171A36CD" w14:textId="6AA94E3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r>
      <w:tr w:rsidR="005E6617" w:rsidRPr="005E3B3C" w14:paraId="78B0A7F6" w14:textId="77777777" w:rsidTr="005E3B3C">
        <w:trPr>
          <w:trHeight w:val="360"/>
          <w:jc w:val="center"/>
        </w:trPr>
        <w:tc>
          <w:tcPr>
            <w:tcW w:w="2029" w:type="dxa"/>
            <w:shd w:val="clear" w:color="000000" w:fill="FFFFFF"/>
            <w:noWrap/>
            <w:vAlign w:val="center"/>
            <w:hideMark/>
          </w:tcPr>
          <w:p w14:paraId="374AD2E9" w14:textId="77777777" w:rsidR="005E6617" w:rsidRPr="005E3B3C" w:rsidRDefault="005E6617" w:rsidP="005A1DD4">
            <w:pPr>
              <w:rPr>
                <w:rFonts w:asciiTheme="minorHAnsi" w:hAnsiTheme="minorHAnsi" w:cstheme="minorHAnsi"/>
                <w:sz w:val="18"/>
                <w:szCs w:val="18"/>
                <w:lang w:eastAsia="en-GB"/>
              </w:rPr>
            </w:pPr>
            <w:r w:rsidRPr="005E3B3C">
              <w:rPr>
                <w:rFonts w:asciiTheme="minorHAnsi" w:hAnsiTheme="minorHAnsi" w:cstheme="minorHAnsi"/>
                <w:sz w:val="18"/>
                <w:szCs w:val="18"/>
                <w:lang w:eastAsia="en-GB"/>
              </w:rPr>
              <w:t>Capital Grants</w:t>
            </w:r>
          </w:p>
        </w:tc>
        <w:tc>
          <w:tcPr>
            <w:tcW w:w="1286" w:type="dxa"/>
            <w:vAlign w:val="center"/>
          </w:tcPr>
          <w:p w14:paraId="4C8A04BE" w14:textId="77777777" w:rsidR="005E6617" w:rsidRPr="005E3B3C" w:rsidRDefault="005E6617" w:rsidP="005A1DD4">
            <w:pPr>
              <w:jc w:val="right"/>
              <w:rPr>
                <w:rFonts w:asciiTheme="minorHAnsi" w:hAnsiTheme="minorHAnsi" w:cstheme="minorHAnsi"/>
                <w:color w:val="000000" w:themeColor="text1"/>
                <w:sz w:val="18"/>
                <w:szCs w:val="18"/>
                <w:lang w:eastAsia="en-GB"/>
              </w:rPr>
            </w:pPr>
            <w:r w:rsidRPr="005E3B3C">
              <w:rPr>
                <w:rFonts w:asciiTheme="minorHAnsi" w:hAnsiTheme="minorHAnsi" w:cstheme="minorHAnsi"/>
                <w:color w:val="000000" w:themeColor="text1"/>
                <w:sz w:val="18"/>
                <w:szCs w:val="18"/>
                <w:lang w:eastAsia="en-GB"/>
              </w:rPr>
              <w:t xml:space="preserve">  </w:t>
            </w:r>
          </w:p>
        </w:tc>
        <w:tc>
          <w:tcPr>
            <w:tcW w:w="1287" w:type="dxa"/>
            <w:vAlign w:val="center"/>
          </w:tcPr>
          <w:p w14:paraId="65E4CD87" w14:textId="77777777" w:rsidR="005E6617" w:rsidRPr="005E3B3C" w:rsidRDefault="005E6617" w:rsidP="005A1DD4">
            <w:pPr>
              <w:jc w:val="right"/>
              <w:rPr>
                <w:rFonts w:asciiTheme="minorHAnsi" w:hAnsiTheme="minorHAnsi" w:cstheme="minorHAnsi"/>
                <w:color w:val="000000" w:themeColor="text1"/>
                <w:sz w:val="18"/>
                <w:szCs w:val="18"/>
                <w:lang w:eastAsia="en-GB"/>
              </w:rPr>
            </w:pPr>
            <w:r w:rsidRPr="005E3B3C">
              <w:rPr>
                <w:rFonts w:asciiTheme="minorHAnsi" w:hAnsiTheme="minorHAnsi" w:cstheme="minorHAnsi"/>
                <w:color w:val="000000" w:themeColor="text1"/>
                <w:sz w:val="18"/>
                <w:szCs w:val="18"/>
                <w:lang w:eastAsia="en-GB"/>
              </w:rPr>
              <w:t xml:space="preserve">  </w:t>
            </w:r>
          </w:p>
        </w:tc>
        <w:tc>
          <w:tcPr>
            <w:tcW w:w="1287" w:type="dxa"/>
            <w:shd w:val="clear" w:color="auto" w:fill="auto"/>
            <w:noWrap/>
            <w:vAlign w:val="center"/>
            <w:hideMark/>
          </w:tcPr>
          <w:p w14:paraId="15ADB273" w14:textId="77777777" w:rsidR="005E6617" w:rsidRPr="005E3B3C" w:rsidRDefault="005E6617" w:rsidP="005A1DD4">
            <w:pPr>
              <w:jc w:val="right"/>
              <w:rPr>
                <w:rFonts w:asciiTheme="minorHAnsi" w:hAnsiTheme="minorHAnsi" w:cstheme="minorHAnsi"/>
                <w:color w:val="000000" w:themeColor="text1"/>
                <w:sz w:val="18"/>
                <w:szCs w:val="18"/>
                <w:lang w:eastAsia="en-GB"/>
              </w:rPr>
            </w:pPr>
            <w:r w:rsidRPr="005E3B3C">
              <w:rPr>
                <w:rFonts w:asciiTheme="minorHAnsi" w:hAnsiTheme="minorHAnsi" w:cstheme="minorHAnsi"/>
                <w:color w:val="000000" w:themeColor="text1"/>
                <w:sz w:val="18"/>
                <w:szCs w:val="18"/>
                <w:lang w:eastAsia="en-GB"/>
              </w:rPr>
              <w:t xml:space="preserve">  </w:t>
            </w:r>
          </w:p>
        </w:tc>
        <w:tc>
          <w:tcPr>
            <w:tcW w:w="1287" w:type="dxa"/>
          </w:tcPr>
          <w:p w14:paraId="1373A356"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43A3A9AA" w14:textId="080DC60D" w:rsidR="005E6617" w:rsidRPr="005E3B3C" w:rsidRDefault="005E6617" w:rsidP="005A1DD4">
            <w:pPr>
              <w:jc w:val="right"/>
              <w:rPr>
                <w:rFonts w:asciiTheme="minorHAnsi" w:hAnsiTheme="minorHAnsi" w:cstheme="minorHAnsi"/>
                <w:color w:val="000000" w:themeColor="text1"/>
                <w:sz w:val="18"/>
                <w:szCs w:val="18"/>
                <w:lang w:eastAsia="en-GB"/>
              </w:rPr>
            </w:pPr>
            <w:r w:rsidRPr="005E3B3C">
              <w:rPr>
                <w:rFonts w:asciiTheme="minorHAnsi" w:hAnsiTheme="minorHAnsi" w:cstheme="minorHAnsi"/>
                <w:color w:val="000000" w:themeColor="text1"/>
                <w:sz w:val="18"/>
                <w:szCs w:val="18"/>
                <w:lang w:eastAsia="en-GB"/>
              </w:rPr>
              <w:t xml:space="preserve"> </w:t>
            </w:r>
          </w:p>
        </w:tc>
      </w:tr>
      <w:tr w:rsidR="005E6617" w:rsidRPr="005E3B3C" w14:paraId="228FBCE6" w14:textId="77777777" w:rsidTr="005E3B3C">
        <w:trPr>
          <w:trHeight w:val="360"/>
          <w:jc w:val="center"/>
        </w:trPr>
        <w:tc>
          <w:tcPr>
            <w:tcW w:w="2029" w:type="dxa"/>
            <w:shd w:val="clear" w:color="000000" w:fill="FFFFFF"/>
            <w:noWrap/>
            <w:vAlign w:val="center"/>
            <w:hideMark/>
          </w:tcPr>
          <w:p w14:paraId="2C2873F7" w14:textId="77777777" w:rsidR="005E6617" w:rsidRPr="005E3B3C" w:rsidRDefault="005E6617" w:rsidP="005A1DD4">
            <w:pPr>
              <w:rPr>
                <w:rFonts w:asciiTheme="minorHAnsi" w:hAnsiTheme="minorHAnsi" w:cstheme="minorHAnsi"/>
                <w:sz w:val="18"/>
                <w:szCs w:val="18"/>
                <w:lang w:eastAsia="en-GB"/>
              </w:rPr>
            </w:pPr>
            <w:r w:rsidRPr="005E3B3C">
              <w:rPr>
                <w:rFonts w:asciiTheme="minorHAnsi" w:hAnsiTheme="minorHAnsi" w:cstheme="minorHAnsi"/>
                <w:sz w:val="18"/>
                <w:szCs w:val="18"/>
                <w:lang w:eastAsia="en-GB"/>
              </w:rPr>
              <w:t>Total Assets</w:t>
            </w:r>
          </w:p>
        </w:tc>
        <w:tc>
          <w:tcPr>
            <w:tcW w:w="1286" w:type="dxa"/>
            <w:vAlign w:val="center"/>
          </w:tcPr>
          <w:p w14:paraId="26F59E47"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vAlign w:val="center"/>
          </w:tcPr>
          <w:p w14:paraId="37C5D193"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3B05CEB1"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tcPr>
          <w:p w14:paraId="049A1DD6"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68D7316B" w14:textId="564DE013"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r>
      <w:tr w:rsidR="005E6617" w:rsidRPr="005E3B3C" w14:paraId="3DBD7C68" w14:textId="77777777" w:rsidTr="005E3B3C">
        <w:trPr>
          <w:trHeight w:val="360"/>
          <w:jc w:val="center"/>
        </w:trPr>
        <w:tc>
          <w:tcPr>
            <w:tcW w:w="2029" w:type="dxa"/>
            <w:shd w:val="clear" w:color="000000" w:fill="FFFFFF"/>
            <w:noWrap/>
            <w:vAlign w:val="center"/>
            <w:hideMark/>
          </w:tcPr>
          <w:p w14:paraId="7F4E9406" w14:textId="77777777" w:rsidR="005E6617" w:rsidRPr="005E3B3C" w:rsidRDefault="005E6617" w:rsidP="005A1DD4">
            <w:pPr>
              <w:rPr>
                <w:rFonts w:asciiTheme="minorHAnsi" w:hAnsiTheme="minorHAnsi" w:cstheme="minorHAnsi"/>
                <w:sz w:val="18"/>
                <w:szCs w:val="18"/>
                <w:lang w:eastAsia="en-GB"/>
              </w:rPr>
            </w:pPr>
            <w:r w:rsidRPr="005E3B3C">
              <w:rPr>
                <w:rFonts w:asciiTheme="minorHAnsi" w:hAnsiTheme="minorHAnsi" w:cstheme="minorHAnsi"/>
                <w:sz w:val="18"/>
                <w:szCs w:val="18"/>
                <w:lang w:eastAsia="en-GB"/>
              </w:rPr>
              <w:t>Total Liabilities</w:t>
            </w:r>
          </w:p>
        </w:tc>
        <w:tc>
          <w:tcPr>
            <w:tcW w:w="1286" w:type="dxa"/>
            <w:vAlign w:val="center"/>
          </w:tcPr>
          <w:p w14:paraId="0491AD88"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vAlign w:val="center"/>
          </w:tcPr>
          <w:p w14:paraId="63BAFDEA"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17ABED1A"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tcPr>
          <w:p w14:paraId="251AC1E0"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39B3B1EC" w14:textId="2777418F"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r>
      <w:tr w:rsidR="005E6617" w:rsidRPr="005E3B3C" w14:paraId="4B9599C4" w14:textId="77777777" w:rsidTr="005E3B3C">
        <w:trPr>
          <w:trHeight w:val="360"/>
          <w:jc w:val="center"/>
        </w:trPr>
        <w:tc>
          <w:tcPr>
            <w:tcW w:w="2029" w:type="dxa"/>
            <w:shd w:val="clear" w:color="000000" w:fill="FFFFFF"/>
            <w:noWrap/>
            <w:vAlign w:val="center"/>
            <w:hideMark/>
          </w:tcPr>
          <w:p w14:paraId="295A7B2C" w14:textId="77777777" w:rsidR="005E6617" w:rsidRPr="005E3B3C" w:rsidRDefault="005E6617" w:rsidP="005A1DD4">
            <w:pPr>
              <w:rPr>
                <w:rFonts w:asciiTheme="minorHAnsi" w:hAnsiTheme="minorHAnsi" w:cstheme="minorHAnsi"/>
                <w:sz w:val="18"/>
                <w:szCs w:val="18"/>
                <w:lang w:eastAsia="en-GB"/>
              </w:rPr>
            </w:pPr>
            <w:r w:rsidRPr="005E3B3C">
              <w:rPr>
                <w:rFonts w:asciiTheme="minorHAnsi" w:hAnsiTheme="minorHAnsi" w:cstheme="minorHAnsi"/>
                <w:sz w:val="18"/>
                <w:szCs w:val="18"/>
                <w:lang w:eastAsia="en-GB"/>
              </w:rPr>
              <w:t>Shareholders' Funds</w:t>
            </w:r>
          </w:p>
        </w:tc>
        <w:tc>
          <w:tcPr>
            <w:tcW w:w="1286" w:type="dxa"/>
            <w:vAlign w:val="center"/>
          </w:tcPr>
          <w:p w14:paraId="0F341536" w14:textId="77777777" w:rsidR="005E6617" w:rsidRPr="005E3B3C" w:rsidRDefault="005E6617" w:rsidP="005A1DD4">
            <w:pPr>
              <w:spacing w:before="120"/>
              <w:jc w:val="right"/>
              <w:rPr>
                <w:rFonts w:asciiTheme="minorHAnsi" w:hAnsiTheme="minorHAnsi" w:cstheme="minorHAnsi"/>
                <w:color w:val="FF0000"/>
                <w:sz w:val="18"/>
                <w:szCs w:val="18"/>
                <w:lang w:eastAsia="en-GB"/>
              </w:rPr>
            </w:pPr>
          </w:p>
        </w:tc>
        <w:tc>
          <w:tcPr>
            <w:tcW w:w="1287" w:type="dxa"/>
            <w:vAlign w:val="center"/>
          </w:tcPr>
          <w:p w14:paraId="5C1E845E" w14:textId="77777777" w:rsidR="005E6617" w:rsidRPr="005E3B3C" w:rsidRDefault="005E6617" w:rsidP="005A1DD4">
            <w:pPr>
              <w:spacing w:before="120"/>
              <w:jc w:val="right"/>
              <w:rPr>
                <w:rFonts w:asciiTheme="minorHAnsi" w:hAnsiTheme="minorHAnsi" w:cstheme="minorHAnsi"/>
                <w:color w:val="FF0000"/>
                <w:sz w:val="18"/>
                <w:szCs w:val="18"/>
                <w:lang w:eastAsia="en-GB"/>
              </w:rPr>
            </w:pPr>
          </w:p>
        </w:tc>
        <w:tc>
          <w:tcPr>
            <w:tcW w:w="1287" w:type="dxa"/>
            <w:shd w:val="clear" w:color="auto" w:fill="auto"/>
            <w:noWrap/>
            <w:vAlign w:val="center"/>
          </w:tcPr>
          <w:p w14:paraId="19C8FC7E"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tcPr>
          <w:p w14:paraId="3B64906D"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4E8B284B" w14:textId="0E8C6753"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r>
      <w:tr w:rsidR="005E6617" w:rsidRPr="005E3B3C" w14:paraId="2A5E266E" w14:textId="77777777" w:rsidTr="005E3B3C">
        <w:trPr>
          <w:trHeight w:val="360"/>
          <w:jc w:val="center"/>
        </w:trPr>
        <w:tc>
          <w:tcPr>
            <w:tcW w:w="2029" w:type="dxa"/>
            <w:shd w:val="clear" w:color="000000" w:fill="FFFFFF"/>
            <w:noWrap/>
            <w:vAlign w:val="center"/>
          </w:tcPr>
          <w:p w14:paraId="4538C9D9" w14:textId="77777777" w:rsidR="005E6617" w:rsidRPr="005E3B3C" w:rsidRDefault="005E6617" w:rsidP="005A1DD4">
            <w:pPr>
              <w:rPr>
                <w:rFonts w:asciiTheme="minorHAnsi" w:hAnsiTheme="minorHAnsi" w:cstheme="minorHAnsi"/>
                <w:sz w:val="18"/>
                <w:szCs w:val="18"/>
                <w:lang w:eastAsia="en-GB"/>
              </w:rPr>
            </w:pPr>
            <w:r w:rsidRPr="005E3B3C">
              <w:rPr>
                <w:rFonts w:asciiTheme="minorHAnsi" w:hAnsiTheme="minorHAnsi" w:cstheme="minorHAnsi"/>
                <w:sz w:val="18"/>
                <w:szCs w:val="18"/>
                <w:lang w:eastAsia="en-GB"/>
              </w:rPr>
              <w:t>EBITDA %</w:t>
            </w:r>
          </w:p>
        </w:tc>
        <w:tc>
          <w:tcPr>
            <w:tcW w:w="1286" w:type="dxa"/>
            <w:vAlign w:val="center"/>
          </w:tcPr>
          <w:p w14:paraId="2EA454E9"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vAlign w:val="center"/>
          </w:tcPr>
          <w:p w14:paraId="715A48A1" w14:textId="77777777" w:rsidR="005E6617" w:rsidRPr="005E3B3C" w:rsidRDefault="005E6617" w:rsidP="005A1DD4">
            <w:pPr>
              <w:jc w:val="right"/>
              <w:rPr>
                <w:rFonts w:asciiTheme="minorHAnsi" w:hAnsiTheme="minorHAnsi" w:cstheme="minorHAnsi"/>
                <w:color w:val="000000" w:themeColor="text1"/>
                <w:sz w:val="18"/>
                <w:szCs w:val="18"/>
                <w:lang w:eastAsia="en-GB"/>
              </w:rPr>
            </w:pPr>
            <w:r w:rsidRPr="005E3B3C">
              <w:rPr>
                <w:rFonts w:asciiTheme="minorHAnsi" w:hAnsiTheme="minorHAnsi" w:cstheme="minorHAnsi"/>
                <w:color w:val="000000" w:themeColor="text1"/>
                <w:sz w:val="18"/>
                <w:szCs w:val="18"/>
                <w:lang w:eastAsia="en-GB"/>
              </w:rPr>
              <w:t xml:space="preserve"> </w:t>
            </w:r>
          </w:p>
        </w:tc>
        <w:tc>
          <w:tcPr>
            <w:tcW w:w="1287" w:type="dxa"/>
            <w:shd w:val="clear" w:color="auto" w:fill="auto"/>
            <w:noWrap/>
            <w:vAlign w:val="center"/>
          </w:tcPr>
          <w:p w14:paraId="2FA14E76"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tcPr>
          <w:p w14:paraId="1ACE53AA"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5A4BD603" w14:textId="1C05850F"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r>
      <w:tr w:rsidR="005E6617" w:rsidRPr="005E3B3C" w14:paraId="6E8F5C10" w14:textId="77777777" w:rsidTr="005E3B3C">
        <w:trPr>
          <w:trHeight w:val="360"/>
          <w:jc w:val="center"/>
        </w:trPr>
        <w:tc>
          <w:tcPr>
            <w:tcW w:w="2029" w:type="dxa"/>
            <w:shd w:val="clear" w:color="000000" w:fill="FFFFFF"/>
            <w:noWrap/>
            <w:vAlign w:val="center"/>
          </w:tcPr>
          <w:p w14:paraId="78F50EAB" w14:textId="77777777" w:rsidR="005E6617" w:rsidRPr="005E3B3C" w:rsidRDefault="005E6617" w:rsidP="005A1DD4">
            <w:pPr>
              <w:rPr>
                <w:rFonts w:asciiTheme="minorHAnsi" w:hAnsiTheme="minorHAnsi" w:cstheme="minorHAnsi"/>
                <w:sz w:val="18"/>
                <w:szCs w:val="18"/>
                <w:lang w:eastAsia="en-GB"/>
              </w:rPr>
            </w:pPr>
            <w:r w:rsidRPr="005E3B3C">
              <w:rPr>
                <w:rFonts w:asciiTheme="minorHAnsi" w:hAnsiTheme="minorHAnsi" w:cstheme="minorHAnsi"/>
                <w:sz w:val="18"/>
                <w:szCs w:val="18"/>
                <w:lang w:eastAsia="en-GB"/>
              </w:rPr>
              <w:t>NOPAT %</w:t>
            </w:r>
          </w:p>
        </w:tc>
        <w:tc>
          <w:tcPr>
            <w:tcW w:w="1286" w:type="dxa"/>
            <w:vAlign w:val="center"/>
          </w:tcPr>
          <w:p w14:paraId="6C40A59D"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vAlign w:val="center"/>
          </w:tcPr>
          <w:p w14:paraId="071E5CAB"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32D5BD80"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tcPr>
          <w:p w14:paraId="6E83B7FE"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4CD3A5E0" w14:textId="786C519C"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r>
      <w:tr w:rsidR="005E6617" w:rsidRPr="005E3B3C" w14:paraId="15B60D18" w14:textId="77777777" w:rsidTr="005E3B3C">
        <w:trPr>
          <w:trHeight w:val="360"/>
          <w:jc w:val="center"/>
        </w:trPr>
        <w:tc>
          <w:tcPr>
            <w:tcW w:w="2029" w:type="dxa"/>
            <w:shd w:val="clear" w:color="000000" w:fill="FFFFFF"/>
            <w:noWrap/>
            <w:vAlign w:val="center"/>
            <w:hideMark/>
          </w:tcPr>
          <w:p w14:paraId="0CCBBBEA" w14:textId="77777777" w:rsidR="005E6617" w:rsidRPr="005E3B3C" w:rsidRDefault="005E6617" w:rsidP="005A1DD4">
            <w:pPr>
              <w:rPr>
                <w:rFonts w:asciiTheme="minorHAnsi" w:hAnsiTheme="minorHAnsi" w:cstheme="minorHAnsi"/>
                <w:sz w:val="18"/>
                <w:szCs w:val="18"/>
                <w:lang w:eastAsia="en-GB"/>
              </w:rPr>
            </w:pPr>
            <w:r w:rsidRPr="005E3B3C">
              <w:rPr>
                <w:rFonts w:asciiTheme="minorHAnsi" w:hAnsiTheme="minorHAnsi" w:cstheme="minorHAnsi"/>
                <w:sz w:val="18"/>
                <w:szCs w:val="18"/>
                <w:lang w:eastAsia="en-GB"/>
              </w:rPr>
              <w:t>ROE %</w:t>
            </w:r>
          </w:p>
        </w:tc>
        <w:tc>
          <w:tcPr>
            <w:tcW w:w="1286" w:type="dxa"/>
            <w:vAlign w:val="center"/>
          </w:tcPr>
          <w:p w14:paraId="7EF4BB46"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vAlign w:val="center"/>
          </w:tcPr>
          <w:p w14:paraId="0DC16046"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4E970A03"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tcPr>
          <w:p w14:paraId="1C21A9A0"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1367F1DB" w14:textId="4E3681E2"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r>
      <w:tr w:rsidR="005E6617" w:rsidRPr="005E3B3C" w14:paraId="0A531CE3" w14:textId="77777777" w:rsidTr="005E3B3C">
        <w:trPr>
          <w:trHeight w:val="360"/>
          <w:jc w:val="center"/>
        </w:trPr>
        <w:tc>
          <w:tcPr>
            <w:tcW w:w="2029" w:type="dxa"/>
            <w:shd w:val="clear" w:color="000000" w:fill="FFFFFF"/>
            <w:noWrap/>
            <w:vAlign w:val="center"/>
            <w:hideMark/>
          </w:tcPr>
          <w:p w14:paraId="0420FD7B" w14:textId="77777777" w:rsidR="005E6617" w:rsidRPr="005E3B3C" w:rsidRDefault="005E6617" w:rsidP="005A1DD4">
            <w:pPr>
              <w:rPr>
                <w:rFonts w:asciiTheme="minorHAnsi" w:hAnsiTheme="minorHAnsi" w:cstheme="minorHAnsi"/>
                <w:sz w:val="18"/>
                <w:szCs w:val="18"/>
                <w:lang w:eastAsia="en-GB"/>
              </w:rPr>
            </w:pPr>
            <w:r w:rsidRPr="005E3B3C">
              <w:rPr>
                <w:rFonts w:asciiTheme="minorHAnsi" w:hAnsiTheme="minorHAnsi" w:cstheme="minorHAnsi"/>
                <w:sz w:val="18"/>
                <w:szCs w:val="18"/>
                <w:lang w:eastAsia="en-GB"/>
              </w:rPr>
              <w:t>ROA %</w:t>
            </w:r>
          </w:p>
        </w:tc>
        <w:tc>
          <w:tcPr>
            <w:tcW w:w="1286" w:type="dxa"/>
            <w:vAlign w:val="center"/>
          </w:tcPr>
          <w:p w14:paraId="00A90E29" w14:textId="77777777" w:rsidR="005E6617" w:rsidRPr="005E3B3C" w:rsidRDefault="005E6617" w:rsidP="005A1DD4">
            <w:pPr>
              <w:spacing w:before="120"/>
              <w:jc w:val="right"/>
              <w:rPr>
                <w:rFonts w:asciiTheme="minorHAnsi" w:hAnsiTheme="minorHAnsi" w:cstheme="minorHAnsi"/>
                <w:color w:val="FF0000"/>
                <w:sz w:val="18"/>
                <w:szCs w:val="18"/>
                <w:lang w:eastAsia="en-GB"/>
              </w:rPr>
            </w:pPr>
          </w:p>
        </w:tc>
        <w:tc>
          <w:tcPr>
            <w:tcW w:w="1287" w:type="dxa"/>
            <w:vAlign w:val="center"/>
          </w:tcPr>
          <w:p w14:paraId="7090F064" w14:textId="77777777" w:rsidR="005E6617" w:rsidRPr="005E3B3C" w:rsidRDefault="005E6617" w:rsidP="005A1DD4">
            <w:pPr>
              <w:spacing w:before="120"/>
              <w:jc w:val="right"/>
              <w:rPr>
                <w:rFonts w:asciiTheme="minorHAnsi" w:hAnsiTheme="minorHAnsi" w:cstheme="minorHAnsi"/>
                <w:color w:val="FF0000"/>
                <w:sz w:val="18"/>
                <w:szCs w:val="18"/>
                <w:lang w:eastAsia="en-GB"/>
              </w:rPr>
            </w:pPr>
          </w:p>
        </w:tc>
        <w:tc>
          <w:tcPr>
            <w:tcW w:w="1287" w:type="dxa"/>
            <w:shd w:val="clear" w:color="auto" w:fill="auto"/>
            <w:noWrap/>
            <w:vAlign w:val="center"/>
          </w:tcPr>
          <w:p w14:paraId="036320B2"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tcPr>
          <w:p w14:paraId="6FE194EB"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0CEA0F21" w14:textId="52750F8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r>
      <w:tr w:rsidR="005E6617" w:rsidRPr="005E3B3C" w14:paraId="197224CC" w14:textId="77777777" w:rsidTr="005E3B3C">
        <w:trPr>
          <w:trHeight w:val="360"/>
          <w:jc w:val="center"/>
        </w:trPr>
        <w:tc>
          <w:tcPr>
            <w:tcW w:w="2029" w:type="dxa"/>
            <w:shd w:val="clear" w:color="000000" w:fill="FFFFFF"/>
            <w:noWrap/>
            <w:vAlign w:val="center"/>
          </w:tcPr>
          <w:p w14:paraId="3187F746" w14:textId="77777777" w:rsidR="005E6617" w:rsidRPr="005E3B3C" w:rsidRDefault="005E6617" w:rsidP="005A1DD4">
            <w:pPr>
              <w:rPr>
                <w:rFonts w:asciiTheme="minorHAnsi" w:hAnsiTheme="minorHAnsi" w:cstheme="minorHAnsi"/>
                <w:sz w:val="18"/>
                <w:szCs w:val="18"/>
                <w:lang w:eastAsia="en-GB"/>
              </w:rPr>
            </w:pPr>
            <w:r w:rsidRPr="005E3B3C">
              <w:rPr>
                <w:rFonts w:asciiTheme="minorHAnsi" w:hAnsiTheme="minorHAnsi" w:cstheme="minorHAnsi"/>
                <w:sz w:val="18"/>
                <w:szCs w:val="18"/>
                <w:lang w:eastAsia="en-GB"/>
              </w:rPr>
              <w:t>Current Assets / Current liabilities</w:t>
            </w:r>
          </w:p>
        </w:tc>
        <w:tc>
          <w:tcPr>
            <w:tcW w:w="1286" w:type="dxa"/>
            <w:vAlign w:val="center"/>
          </w:tcPr>
          <w:p w14:paraId="482604DB"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vAlign w:val="center"/>
          </w:tcPr>
          <w:p w14:paraId="759529E2"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7674CB9E" w14:textId="77777777" w:rsidR="005E6617" w:rsidRPr="005E3B3C" w:rsidRDefault="005E6617" w:rsidP="005A1DD4">
            <w:pPr>
              <w:jc w:val="right"/>
              <w:rPr>
                <w:rFonts w:asciiTheme="minorHAnsi" w:hAnsiTheme="minorHAnsi" w:cstheme="minorHAnsi"/>
                <w:color w:val="000000" w:themeColor="text1"/>
                <w:sz w:val="18"/>
                <w:szCs w:val="18"/>
                <w:lang w:eastAsia="en-GB"/>
              </w:rPr>
            </w:pPr>
            <w:r w:rsidRPr="005E3B3C">
              <w:rPr>
                <w:rFonts w:asciiTheme="minorHAnsi" w:hAnsiTheme="minorHAnsi" w:cstheme="minorHAnsi"/>
                <w:color w:val="000000" w:themeColor="text1"/>
                <w:sz w:val="18"/>
                <w:szCs w:val="18"/>
                <w:lang w:eastAsia="en-GB"/>
              </w:rPr>
              <w:t xml:space="preserve"> </w:t>
            </w:r>
          </w:p>
        </w:tc>
        <w:tc>
          <w:tcPr>
            <w:tcW w:w="1287" w:type="dxa"/>
          </w:tcPr>
          <w:p w14:paraId="6EB4104B"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79B46ACD" w14:textId="3C1AE445"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r>
      <w:tr w:rsidR="005E6617" w:rsidRPr="005E3B3C" w14:paraId="344368F2" w14:textId="77777777" w:rsidTr="005E3B3C">
        <w:trPr>
          <w:trHeight w:val="360"/>
          <w:jc w:val="center"/>
        </w:trPr>
        <w:tc>
          <w:tcPr>
            <w:tcW w:w="2029" w:type="dxa"/>
            <w:shd w:val="clear" w:color="000000" w:fill="FFFFFF"/>
            <w:noWrap/>
            <w:vAlign w:val="center"/>
          </w:tcPr>
          <w:p w14:paraId="4AFA765B" w14:textId="77777777" w:rsidR="005E6617" w:rsidRPr="005E3B3C" w:rsidRDefault="005E6617" w:rsidP="005A1DD4">
            <w:pPr>
              <w:rPr>
                <w:rFonts w:asciiTheme="minorHAnsi" w:hAnsiTheme="minorHAnsi" w:cstheme="minorHAnsi"/>
                <w:sz w:val="18"/>
                <w:szCs w:val="18"/>
                <w:lang w:eastAsia="en-GB"/>
              </w:rPr>
            </w:pPr>
            <w:r w:rsidRPr="005E3B3C">
              <w:rPr>
                <w:rFonts w:asciiTheme="minorHAnsi" w:hAnsiTheme="minorHAnsi" w:cstheme="minorHAnsi"/>
                <w:sz w:val="18"/>
                <w:szCs w:val="18"/>
                <w:lang w:eastAsia="en-GB"/>
              </w:rPr>
              <w:t>Quick Ratio</w:t>
            </w:r>
          </w:p>
        </w:tc>
        <w:tc>
          <w:tcPr>
            <w:tcW w:w="1286" w:type="dxa"/>
            <w:vAlign w:val="center"/>
          </w:tcPr>
          <w:p w14:paraId="059B6F82"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vAlign w:val="center"/>
          </w:tcPr>
          <w:p w14:paraId="371177AA"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34287965"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tcPr>
          <w:p w14:paraId="53B28E8F"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0FC5D9DB" w14:textId="0CE1F64D"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r>
      <w:tr w:rsidR="005E6617" w:rsidRPr="005E3B3C" w14:paraId="1F5C81DD" w14:textId="77777777" w:rsidTr="005E3B3C">
        <w:trPr>
          <w:trHeight w:val="360"/>
          <w:jc w:val="center"/>
        </w:trPr>
        <w:tc>
          <w:tcPr>
            <w:tcW w:w="2029" w:type="dxa"/>
            <w:shd w:val="clear" w:color="000000" w:fill="FFFFFF"/>
            <w:noWrap/>
            <w:vAlign w:val="center"/>
          </w:tcPr>
          <w:p w14:paraId="191DE335" w14:textId="77777777" w:rsidR="005E6617" w:rsidRPr="005E3B3C" w:rsidRDefault="005E6617" w:rsidP="005A1DD4">
            <w:pPr>
              <w:rPr>
                <w:rFonts w:asciiTheme="minorHAnsi" w:hAnsiTheme="minorHAnsi" w:cstheme="minorHAnsi"/>
                <w:sz w:val="18"/>
                <w:szCs w:val="18"/>
                <w:lang w:eastAsia="en-GB"/>
              </w:rPr>
            </w:pPr>
            <w:r w:rsidRPr="005E3B3C">
              <w:rPr>
                <w:rFonts w:asciiTheme="minorHAnsi" w:hAnsiTheme="minorHAnsi" w:cstheme="minorHAnsi"/>
                <w:sz w:val="18"/>
                <w:szCs w:val="18"/>
                <w:lang w:eastAsia="en-GB"/>
              </w:rPr>
              <w:t>Accounts Receivable Days</w:t>
            </w:r>
          </w:p>
        </w:tc>
        <w:tc>
          <w:tcPr>
            <w:tcW w:w="1286" w:type="dxa"/>
            <w:vAlign w:val="center"/>
          </w:tcPr>
          <w:p w14:paraId="2AA2332F"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vAlign w:val="center"/>
          </w:tcPr>
          <w:p w14:paraId="2B925E21"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2931D97A"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tcPr>
          <w:p w14:paraId="0C525BFA"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7870EDB7" w14:textId="0413F2B2"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r>
      <w:tr w:rsidR="005E6617" w:rsidRPr="005E3B3C" w14:paraId="398C4838" w14:textId="77777777" w:rsidTr="005E3B3C">
        <w:trPr>
          <w:trHeight w:val="360"/>
          <w:jc w:val="center"/>
        </w:trPr>
        <w:tc>
          <w:tcPr>
            <w:tcW w:w="2029" w:type="dxa"/>
            <w:shd w:val="clear" w:color="000000" w:fill="FFFFFF"/>
            <w:noWrap/>
            <w:vAlign w:val="center"/>
          </w:tcPr>
          <w:p w14:paraId="3AEEC2D8" w14:textId="77777777" w:rsidR="005E6617" w:rsidRPr="005E3B3C" w:rsidRDefault="005E6617" w:rsidP="005A1DD4">
            <w:pPr>
              <w:rPr>
                <w:rFonts w:asciiTheme="minorHAnsi" w:hAnsiTheme="minorHAnsi" w:cstheme="minorHAnsi"/>
                <w:sz w:val="18"/>
                <w:szCs w:val="18"/>
                <w:lang w:eastAsia="en-GB"/>
              </w:rPr>
            </w:pPr>
            <w:r w:rsidRPr="005E3B3C">
              <w:rPr>
                <w:rFonts w:asciiTheme="minorHAnsi" w:hAnsiTheme="minorHAnsi" w:cstheme="minorHAnsi"/>
                <w:sz w:val="18"/>
                <w:szCs w:val="18"/>
                <w:lang w:eastAsia="en-GB"/>
              </w:rPr>
              <w:t>Assets Turnover</w:t>
            </w:r>
          </w:p>
        </w:tc>
        <w:tc>
          <w:tcPr>
            <w:tcW w:w="1286" w:type="dxa"/>
            <w:vAlign w:val="center"/>
          </w:tcPr>
          <w:p w14:paraId="74B59DD9"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vAlign w:val="center"/>
          </w:tcPr>
          <w:p w14:paraId="767595AD"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17FBF3D4"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tcPr>
          <w:p w14:paraId="4D7FC91E"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37C5C7BC" w14:textId="4E9F39F8"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r>
      <w:tr w:rsidR="005E6617" w:rsidRPr="005E3B3C" w14:paraId="20FD125C" w14:textId="77777777" w:rsidTr="005E3B3C">
        <w:trPr>
          <w:trHeight w:val="360"/>
          <w:jc w:val="center"/>
        </w:trPr>
        <w:tc>
          <w:tcPr>
            <w:tcW w:w="2029" w:type="dxa"/>
            <w:shd w:val="clear" w:color="000000" w:fill="FFFFFF"/>
            <w:noWrap/>
            <w:vAlign w:val="center"/>
            <w:hideMark/>
          </w:tcPr>
          <w:p w14:paraId="55BB6CC7" w14:textId="77777777" w:rsidR="005E6617" w:rsidRPr="005E3B3C" w:rsidRDefault="005E6617" w:rsidP="005A1DD4">
            <w:pPr>
              <w:rPr>
                <w:rFonts w:asciiTheme="minorHAnsi" w:hAnsiTheme="minorHAnsi" w:cstheme="minorHAnsi"/>
                <w:sz w:val="18"/>
                <w:szCs w:val="18"/>
                <w:lang w:eastAsia="en-GB"/>
              </w:rPr>
            </w:pPr>
            <w:r w:rsidRPr="005E3B3C">
              <w:rPr>
                <w:rFonts w:asciiTheme="minorHAnsi" w:hAnsiTheme="minorHAnsi" w:cstheme="minorHAnsi"/>
                <w:sz w:val="18"/>
                <w:szCs w:val="18"/>
                <w:lang w:eastAsia="en-GB"/>
              </w:rPr>
              <w:t>Debt / Equity Ratio</w:t>
            </w:r>
          </w:p>
        </w:tc>
        <w:tc>
          <w:tcPr>
            <w:tcW w:w="1286" w:type="dxa"/>
            <w:vAlign w:val="center"/>
          </w:tcPr>
          <w:p w14:paraId="1248DF5E" w14:textId="77777777" w:rsidR="005E6617" w:rsidRPr="005E3B3C" w:rsidRDefault="005E6617" w:rsidP="005A1DD4">
            <w:pPr>
              <w:spacing w:before="120"/>
              <w:jc w:val="right"/>
              <w:rPr>
                <w:rFonts w:asciiTheme="minorHAnsi" w:hAnsiTheme="minorHAnsi" w:cstheme="minorHAnsi"/>
                <w:color w:val="FF0000"/>
                <w:sz w:val="18"/>
                <w:szCs w:val="18"/>
                <w:lang w:eastAsia="en-GB"/>
              </w:rPr>
            </w:pPr>
          </w:p>
        </w:tc>
        <w:tc>
          <w:tcPr>
            <w:tcW w:w="1287" w:type="dxa"/>
            <w:vAlign w:val="center"/>
          </w:tcPr>
          <w:p w14:paraId="10ADE128" w14:textId="77777777" w:rsidR="005E6617" w:rsidRPr="005E3B3C" w:rsidRDefault="005E6617" w:rsidP="005A1DD4">
            <w:pPr>
              <w:spacing w:before="120"/>
              <w:jc w:val="right"/>
              <w:rPr>
                <w:rFonts w:asciiTheme="minorHAnsi" w:hAnsiTheme="minorHAnsi" w:cstheme="minorHAnsi"/>
                <w:color w:val="FF0000"/>
                <w:sz w:val="18"/>
                <w:szCs w:val="18"/>
                <w:lang w:eastAsia="en-GB"/>
              </w:rPr>
            </w:pPr>
          </w:p>
        </w:tc>
        <w:tc>
          <w:tcPr>
            <w:tcW w:w="1287" w:type="dxa"/>
            <w:shd w:val="clear" w:color="auto" w:fill="auto"/>
            <w:noWrap/>
            <w:vAlign w:val="center"/>
          </w:tcPr>
          <w:p w14:paraId="79A3845C"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tcPr>
          <w:p w14:paraId="2B5F8BE9" w14:textId="77777777"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1119AC8B" w14:textId="3A535E90" w:rsidR="005E6617" w:rsidRPr="005E3B3C" w:rsidRDefault="005E6617" w:rsidP="005A1DD4">
            <w:pPr>
              <w:spacing w:before="120"/>
              <w:jc w:val="right"/>
              <w:rPr>
                <w:rFonts w:asciiTheme="minorHAnsi" w:hAnsiTheme="minorHAnsi" w:cstheme="minorHAnsi"/>
                <w:color w:val="000000" w:themeColor="text1"/>
                <w:sz w:val="18"/>
                <w:szCs w:val="18"/>
                <w:lang w:eastAsia="en-GB"/>
              </w:rPr>
            </w:pPr>
          </w:p>
        </w:tc>
      </w:tr>
    </w:tbl>
    <w:p w14:paraId="27B6204D" w14:textId="77777777" w:rsidR="00E07DE3" w:rsidRPr="00D25BE7" w:rsidRDefault="00E07DE3" w:rsidP="00E07DE3">
      <w:pPr>
        <w:rPr>
          <w:rFonts w:asciiTheme="minorHAnsi" w:hAnsiTheme="minorHAnsi"/>
          <w:color w:val="000000" w:themeColor="text1"/>
          <w:lang w:val="en-GB"/>
        </w:rPr>
      </w:pPr>
      <w:r w:rsidRPr="00D25BE7">
        <w:rPr>
          <w:rFonts w:asciiTheme="minorHAnsi" w:hAnsiTheme="minorHAnsi"/>
        </w:rPr>
        <w:t xml:space="preserve"> </w:t>
      </w:r>
    </w:p>
    <w:p w14:paraId="1101EB63" w14:textId="66815223" w:rsidR="00E07DE3" w:rsidRPr="00D25BE7" w:rsidRDefault="00E07DE3" w:rsidP="00B3062A">
      <w:pPr>
        <w:ind w:left="1434" w:hanging="357"/>
        <w:rPr>
          <w:rFonts w:asciiTheme="minorHAnsi" w:hAnsiTheme="minorHAnsi"/>
          <w:lang w:val="en-GB"/>
        </w:rPr>
      </w:pPr>
    </w:p>
    <w:p w14:paraId="1CD3BA03" w14:textId="196565BA" w:rsidR="00D7179A" w:rsidRPr="00713392" w:rsidRDefault="006D3F2B" w:rsidP="00713392">
      <w:pPr>
        <w:pStyle w:val="ListParagraph"/>
        <w:ind w:left="567" w:hanging="567"/>
        <w:rPr>
          <w:rFonts w:asciiTheme="minorHAnsi" w:hAnsiTheme="minorHAnsi"/>
          <w:lang w:val="en-GB"/>
        </w:rPr>
      </w:pPr>
      <w:r w:rsidRPr="00713392">
        <w:rPr>
          <w:rFonts w:asciiTheme="minorHAnsi" w:hAnsiTheme="minorHAnsi"/>
          <w:b/>
          <w:sz w:val="24"/>
          <w:szCs w:val="24"/>
          <w:lang w:val="en-GB"/>
        </w:rPr>
        <w:t>Lesotho Flour Mills Ltd</w:t>
      </w:r>
      <w:r w:rsidR="00105619">
        <w:rPr>
          <w:rFonts w:asciiTheme="minorHAnsi" w:hAnsiTheme="minorHAnsi"/>
          <w:lang w:val="en-GB"/>
        </w:rPr>
        <w:t xml:space="preserve">. </w:t>
      </w:r>
      <w:r w:rsidR="004C5409">
        <w:rPr>
          <w:rFonts w:asciiTheme="minorHAnsi" w:hAnsiTheme="minorHAnsi"/>
          <w:lang w:val="en-GB"/>
        </w:rPr>
        <w:t>LFM is</w:t>
      </w:r>
      <w:r w:rsidRPr="00D25BE7">
        <w:rPr>
          <w:rFonts w:asciiTheme="minorHAnsi" w:hAnsiTheme="minorHAnsi"/>
          <w:lang w:val="en-GB"/>
        </w:rPr>
        <w:t xml:space="preserve"> 49% </w:t>
      </w:r>
      <w:r w:rsidR="00FE43B4">
        <w:rPr>
          <w:rFonts w:asciiTheme="minorHAnsi" w:hAnsiTheme="minorHAnsi"/>
          <w:lang w:val="en-GB"/>
        </w:rPr>
        <w:t>owned</w:t>
      </w:r>
      <w:r w:rsidR="00FE43B4" w:rsidRPr="00D25BE7">
        <w:rPr>
          <w:rFonts w:asciiTheme="minorHAnsi" w:hAnsiTheme="minorHAnsi"/>
          <w:lang w:val="en-GB"/>
        </w:rPr>
        <w:t xml:space="preserve"> </w:t>
      </w:r>
      <w:r w:rsidRPr="00D25BE7">
        <w:rPr>
          <w:rFonts w:asciiTheme="minorHAnsi" w:hAnsiTheme="minorHAnsi"/>
          <w:lang w:val="en-GB"/>
        </w:rPr>
        <w:t>by Government</w:t>
      </w:r>
      <w:r w:rsidR="00FE43B4">
        <w:rPr>
          <w:rFonts w:asciiTheme="minorHAnsi" w:hAnsiTheme="minorHAnsi"/>
          <w:lang w:val="en-GB"/>
        </w:rPr>
        <w:t>,</w:t>
      </w:r>
      <w:r w:rsidRPr="00D25BE7">
        <w:rPr>
          <w:rFonts w:asciiTheme="minorHAnsi" w:hAnsiTheme="minorHAnsi"/>
          <w:lang w:val="en-GB"/>
        </w:rPr>
        <w:t xml:space="preserve"> 5</w:t>
      </w:r>
      <w:r w:rsidR="00FE43B4">
        <w:rPr>
          <w:rFonts w:asciiTheme="minorHAnsi" w:hAnsiTheme="minorHAnsi"/>
          <w:lang w:val="en-GB"/>
        </w:rPr>
        <w:t>0</w:t>
      </w:r>
      <w:r w:rsidRPr="00D25BE7">
        <w:rPr>
          <w:rFonts w:asciiTheme="minorHAnsi" w:hAnsiTheme="minorHAnsi"/>
          <w:lang w:val="en-GB"/>
        </w:rPr>
        <w:t xml:space="preserve">% </w:t>
      </w:r>
      <w:r w:rsidR="00FE43B4">
        <w:rPr>
          <w:rFonts w:asciiTheme="minorHAnsi" w:hAnsiTheme="minorHAnsi"/>
          <w:lang w:val="en-GB"/>
        </w:rPr>
        <w:t>by</w:t>
      </w:r>
      <w:r w:rsidR="00DA74B7" w:rsidRPr="00D25BE7">
        <w:rPr>
          <w:rFonts w:asciiTheme="minorHAnsi" w:hAnsiTheme="minorHAnsi"/>
          <w:lang w:val="en-GB"/>
        </w:rPr>
        <w:t xml:space="preserve"> Seaboard </w:t>
      </w:r>
      <w:r w:rsidR="00A45662" w:rsidRPr="00D25BE7">
        <w:rPr>
          <w:rFonts w:asciiTheme="minorHAnsi" w:hAnsiTheme="minorHAnsi"/>
          <w:lang w:val="en-GB"/>
        </w:rPr>
        <w:t>Overseas Pty Ltd</w:t>
      </w:r>
      <w:r w:rsidR="00FE43B4">
        <w:rPr>
          <w:rFonts w:asciiTheme="minorHAnsi" w:hAnsiTheme="minorHAnsi"/>
          <w:lang w:val="en-GB"/>
        </w:rPr>
        <w:t xml:space="preserve"> </w:t>
      </w:r>
      <w:r w:rsidR="002224C2" w:rsidRPr="0098158E">
        <w:rPr>
          <w:rFonts w:asciiTheme="minorHAnsi" w:hAnsiTheme="minorHAnsi"/>
          <w:lang w:val="en-GB"/>
        </w:rPr>
        <w:t>and the remaining 1% has been held by 3 different shareholders in recent years.</w:t>
      </w:r>
      <w:r w:rsidR="002224C2">
        <w:rPr>
          <w:rFonts w:asciiTheme="minorHAnsi" w:hAnsiTheme="minorHAnsi"/>
          <w:lang w:val="en-GB"/>
        </w:rPr>
        <w:t xml:space="preserve"> </w:t>
      </w:r>
      <w:r w:rsidR="002224C2" w:rsidRPr="00713392">
        <w:rPr>
          <w:rFonts w:asciiTheme="minorHAnsi" w:hAnsiTheme="minorHAnsi"/>
          <w:lang w:val="en-GB"/>
        </w:rPr>
        <w:t xml:space="preserve">In the Financial Accounts for the year ending October 2016 it states that: </w:t>
      </w:r>
      <w:proofErr w:type="spellStart"/>
      <w:r w:rsidR="002224C2" w:rsidRPr="00713392">
        <w:rPr>
          <w:rFonts w:asciiTheme="minorHAnsi" w:hAnsiTheme="minorHAnsi"/>
          <w:lang w:val="en-GB"/>
        </w:rPr>
        <w:t>Malchy</w:t>
      </w:r>
      <w:proofErr w:type="spellEnd"/>
      <w:r w:rsidR="002224C2" w:rsidRPr="00713392">
        <w:rPr>
          <w:rFonts w:asciiTheme="minorHAnsi" w:hAnsiTheme="minorHAnsi"/>
          <w:lang w:val="en-GB"/>
        </w:rPr>
        <w:t xml:space="preserve"> Grain Company Limited sold its 100 shares or 1% equity stake in the Company (</w:t>
      </w:r>
      <w:proofErr w:type="spellStart"/>
      <w:r w:rsidR="002224C2" w:rsidRPr="00713392">
        <w:rPr>
          <w:rFonts w:asciiTheme="minorHAnsi" w:hAnsiTheme="minorHAnsi"/>
          <w:lang w:val="en-GB"/>
        </w:rPr>
        <w:t>ie</w:t>
      </w:r>
      <w:proofErr w:type="spellEnd"/>
      <w:r w:rsidR="002224C2" w:rsidRPr="00713392">
        <w:rPr>
          <w:rFonts w:asciiTheme="minorHAnsi" w:hAnsiTheme="minorHAnsi"/>
          <w:lang w:val="en-GB"/>
        </w:rPr>
        <w:t xml:space="preserve"> LFM) on 19th of May 2017 to John Nel, Managing Director of </w:t>
      </w:r>
      <w:proofErr w:type="spellStart"/>
      <w:r w:rsidR="002224C2" w:rsidRPr="00713392">
        <w:rPr>
          <w:rFonts w:asciiTheme="minorHAnsi" w:hAnsiTheme="minorHAnsi"/>
          <w:lang w:val="en-GB"/>
        </w:rPr>
        <w:t>Globakeries</w:t>
      </w:r>
      <w:proofErr w:type="spellEnd"/>
      <w:r w:rsidR="002224C2" w:rsidRPr="00713392">
        <w:rPr>
          <w:rFonts w:asciiTheme="minorHAnsi" w:hAnsiTheme="minorHAnsi"/>
          <w:lang w:val="en-GB"/>
        </w:rPr>
        <w:t>.</w:t>
      </w:r>
      <w:r w:rsidR="00362B49" w:rsidRPr="00713392">
        <w:rPr>
          <w:rFonts w:asciiTheme="minorHAnsi" w:hAnsiTheme="minorHAnsi"/>
          <w:lang w:val="en-GB"/>
        </w:rPr>
        <w:t xml:space="preserve"> At that time it seems that Seaboard was a shareholder /owner of </w:t>
      </w:r>
      <w:proofErr w:type="spellStart"/>
      <w:r w:rsidR="00362B49" w:rsidRPr="00713392">
        <w:rPr>
          <w:rFonts w:asciiTheme="minorHAnsi" w:hAnsiTheme="minorHAnsi"/>
          <w:lang w:val="en-GB"/>
        </w:rPr>
        <w:t>Globakeries</w:t>
      </w:r>
      <w:proofErr w:type="spellEnd"/>
      <w:r w:rsidR="00362B49" w:rsidRPr="00713392">
        <w:rPr>
          <w:rFonts w:asciiTheme="minorHAnsi" w:hAnsiTheme="minorHAnsi"/>
          <w:lang w:val="en-GB"/>
        </w:rPr>
        <w:t xml:space="preserve"> either directly or through its subsidiary / affiliate </w:t>
      </w:r>
      <w:proofErr w:type="spellStart"/>
      <w:r w:rsidR="00362B49" w:rsidRPr="00713392">
        <w:rPr>
          <w:rFonts w:asciiTheme="minorHAnsi" w:hAnsiTheme="minorHAnsi"/>
          <w:lang w:val="en-GB"/>
        </w:rPr>
        <w:t>Gloridge</w:t>
      </w:r>
      <w:proofErr w:type="spellEnd"/>
      <w:r w:rsidR="00362B49" w:rsidRPr="00713392">
        <w:rPr>
          <w:rFonts w:asciiTheme="minorHAnsi" w:hAnsiTheme="minorHAnsi"/>
          <w:lang w:val="en-GB"/>
        </w:rPr>
        <w:t xml:space="preserve"> Bakery (Pty) Ltd. There is a question as to whether GoL should have approved the sale</w:t>
      </w:r>
      <w:r w:rsidR="007F5990" w:rsidRPr="00713392">
        <w:rPr>
          <w:rFonts w:asciiTheme="minorHAnsi" w:hAnsiTheme="minorHAnsi"/>
          <w:lang w:val="en-GB"/>
        </w:rPr>
        <w:t xml:space="preserve"> under the shareholders’ agreement.</w:t>
      </w:r>
    </w:p>
    <w:p w14:paraId="422AE2FC" w14:textId="541DC591" w:rsidR="001913A4" w:rsidRPr="00713392" w:rsidRDefault="007F5990" w:rsidP="001913A4">
      <w:pPr>
        <w:pStyle w:val="ListParagraph"/>
        <w:ind w:left="567" w:hanging="567"/>
        <w:rPr>
          <w:rFonts w:asciiTheme="minorHAnsi" w:hAnsiTheme="minorHAnsi"/>
          <w:lang w:val="en-GB"/>
        </w:rPr>
      </w:pPr>
      <w:r w:rsidRPr="00931046">
        <w:rPr>
          <w:rFonts w:asciiTheme="minorHAnsi" w:hAnsiTheme="minorHAnsi"/>
          <w:lang w:val="en-GB"/>
        </w:rPr>
        <w:t>LFM’s</w:t>
      </w:r>
      <w:r w:rsidR="00D7179A" w:rsidRPr="00931046">
        <w:rPr>
          <w:rFonts w:asciiTheme="minorHAnsi" w:hAnsiTheme="minorHAnsi"/>
          <w:lang w:val="en-GB"/>
        </w:rPr>
        <w:t xml:space="preserve"> performance has been disappointing for many years, at least from the Government perspective. In profitable years, as recently as 2012/13 no dividends were </w:t>
      </w:r>
      <w:r w:rsidR="00C02884" w:rsidRPr="00BB2BB6">
        <w:rPr>
          <w:rFonts w:asciiTheme="minorHAnsi" w:hAnsiTheme="minorHAnsi"/>
          <w:lang w:val="en-GB"/>
        </w:rPr>
        <w:t>declared,</w:t>
      </w:r>
      <w:r w:rsidR="00D7179A" w:rsidRPr="00C63DB1">
        <w:rPr>
          <w:rFonts w:asciiTheme="minorHAnsi" w:hAnsiTheme="minorHAnsi"/>
          <w:lang w:val="en-GB"/>
        </w:rPr>
        <w:t xml:space="preserve"> and Government has seen no real financial return from its investment. There is a</w:t>
      </w:r>
      <w:r w:rsidR="000B6511" w:rsidRPr="0018502B">
        <w:rPr>
          <w:rFonts w:asciiTheme="minorHAnsi" w:hAnsiTheme="minorHAnsi"/>
          <w:lang w:val="en-GB"/>
        </w:rPr>
        <w:t xml:space="preserve"> com</w:t>
      </w:r>
      <w:r w:rsidR="000B6511" w:rsidRPr="005E3EE0">
        <w:rPr>
          <w:rFonts w:asciiTheme="minorHAnsi" w:hAnsiTheme="minorHAnsi"/>
          <w:lang w:val="en-GB"/>
        </w:rPr>
        <w:t xml:space="preserve">plex </w:t>
      </w:r>
      <w:r w:rsidR="00D7179A" w:rsidRPr="00335099">
        <w:rPr>
          <w:rFonts w:asciiTheme="minorHAnsi" w:hAnsiTheme="minorHAnsi"/>
          <w:lang w:val="en-GB"/>
        </w:rPr>
        <w:t>management agreement in place</w:t>
      </w:r>
      <w:r w:rsidR="000B6511" w:rsidRPr="00713392">
        <w:rPr>
          <w:rFonts w:asciiTheme="minorHAnsi" w:hAnsiTheme="minorHAnsi"/>
          <w:lang w:val="en-GB"/>
        </w:rPr>
        <w:t xml:space="preserve"> that permits Seaboard</w:t>
      </w:r>
      <w:r w:rsidR="00F752E2" w:rsidRPr="00713392">
        <w:rPr>
          <w:rFonts w:asciiTheme="minorHAnsi" w:hAnsiTheme="minorHAnsi"/>
          <w:lang w:val="en-GB"/>
        </w:rPr>
        <w:t>:</w:t>
      </w:r>
      <w:r w:rsidR="000B6511" w:rsidRPr="00713392">
        <w:rPr>
          <w:rFonts w:asciiTheme="minorHAnsi" w:hAnsiTheme="minorHAnsi"/>
          <w:lang w:val="en-GB"/>
        </w:rPr>
        <w:t xml:space="preserve"> to </w:t>
      </w:r>
      <w:r w:rsidRPr="00713392">
        <w:rPr>
          <w:rFonts w:asciiTheme="minorHAnsi" w:hAnsiTheme="minorHAnsi"/>
          <w:lang w:val="en-GB"/>
        </w:rPr>
        <w:t xml:space="preserve">appoint </w:t>
      </w:r>
      <w:r w:rsidR="000B6511" w:rsidRPr="00713392">
        <w:rPr>
          <w:rFonts w:asciiTheme="minorHAnsi" w:hAnsiTheme="minorHAnsi"/>
          <w:lang w:val="en-GB"/>
        </w:rPr>
        <w:t xml:space="preserve">expatriate </w:t>
      </w:r>
      <w:r w:rsidRPr="00713392">
        <w:rPr>
          <w:rFonts w:asciiTheme="minorHAnsi" w:hAnsiTheme="minorHAnsi"/>
          <w:lang w:val="en-GB"/>
        </w:rPr>
        <w:t xml:space="preserve">executives to manage the Company </w:t>
      </w:r>
      <w:r w:rsidR="00F752E2" w:rsidRPr="00713392">
        <w:rPr>
          <w:rFonts w:asciiTheme="minorHAnsi" w:hAnsiTheme="minorHAnsi"/>
          <w:lang w:val="en-GB"/>
        </w:rPr>
        <w:t>(on generous salaries and benefits</w:t>
      </w:r>
      <w:r w:rsidR="003166B5" w:rsidRPr="00713392">
        <w:rPr>
          <w:rFonts w:asciiTheme="minorHAnsi" w:hAnsiTheme="minorHAnsi"/>
          <w:lang w:val="en-GB"/>
        </w:rPr>
        <w:t xml:space="preserve"> almost equivalent to the additional management fee</w:t>
      </w:r>
      <w:r w:rsidR="00F752E2" w:rsidRPr="00713392">
        <w:rPr>
          <w:rFonts w:asciiTheme="minorHAnsi" w:hAnsiTheme="minorHAnsi"/>
          <w:lang w:val="en-GB"/>
        </w:rPr>
        <w:t xml:space="preserve">); to be the primary supplier of raw materials and </w:t>
      </w:r>
      <w:r w:rsidR="00F752E2" w:rsidRPr="00713392">
        <w:rPr>
          <w:rFonts w:asciiTheme="minorHAnsi" w:hAnsiTheme="minorHAnsi"/>
          <w:szCs w:val="22"/>
        </w:rPr>
        <w:t xml:space="preserve">receive a premium </w:t>
      </w:r>
      <w:r w:rsidR="00FB2574">
        <w:rPr>
          <w:rFonts w:asciiTheme="minorHAnsi" w:hAnsiTheme="minorHAnsi"/>
          <w:szCs w:val="22"/>
        </w:rPr>
        <w:t>on</w:t>
      </w:r>
      <w:r w:rsidR="00F752E2" w:rsidRPr="00713392">
        <w:rPr>
          <w:rFonts w:asciiTheme="minorHAnsi" w:hAnsiTheme="minorHAnsi"/>
          <w:szCs w:val="22"/>
        </w:rPr>
        <w:t xml:space="preserve"> actual cost when supplying raw materials to LFM; </w:t>
      </w:r>
      <w:r w:rsidR="00633339" w:rsidRPr="00713392">
        <w:rPr>
          <w:rFonts w:asciiTheme="minorHAnsi" w:hAnsiTheme="minorHAnsi"/>
          <w:szCs w:val="22"/>
        </w:rPr>
        <w:t xml:space="preserve">to engage paid advisors </w:t>
      </w:r>
      <w:r w:rsidR="000B6511" w:rsidRPr="00931046">
        <w:rPr>
          <w:rFonts w:asciiTheme="minorHAnsi" w:hAnsiTheme="minorHAnsi"/>
          <w:lang w:val="en-GB"/>
        </w:rPr>
        <w:t>from the parent company</w:t>
      </w:r>
      <w:r w:rsidR="00633339" w:rsidRPr="00BB2BB6">
        <w:rPr>
          <w:rFonts w:asciiTheme="minorHAnsi" w:hAnsiTheme="minorHAnsi"/>
          <w:lang w:val="en-GB"/>
        </w:rPr>
        <w:t>;</w:t>
      </w:r>
      <w:r w:rsidR="000B6511" w:rsidRPr="00C63DB1">
        <w:rPr>
          <w:rFonts w:asciiTheme="minorHAnsi" w:hAnsiTheme="minorHAnsi"/>
          <w:lang w:val="en-GB"/>
        </w:rPr>
        <w:t xml:space="preserve"> in addition to payment of management fees. The most recent years have seen reported losses adding to the overall concern about the financi</w:t>
      </w:r>
      <w:r w:rsidR="000B6511" w:rsidRPr="0018502B">
        <w:rPr>
          <w:rFonts w:asciiTheme="minorHAnsi" w:hAnsiTheme="minorHAnsi"/>
          <w:lang w:val="en-GB"/>
        </w:rPr>
        <w:t>al risk of this investment. 2016/17, however, on the back of strong divisional sales in maize, produced a much better result and a return to profitability.</w:t>
      </w:r>
      <w:r w:rsidR="00DA74B7" w:rsidRPr="005E3EE0">
        <w:rPr>
          <w:rFonts w:asciiTheme="minorHAnsi" w:hAnsiTheme="minorHAnsi"/>
          <w:lang w:val="en-GB"/>
        </w:rPr>
        <w:t xml:space="preserve"> </w:t>
      </w:r>
      <w:r w:rsidR="006D3F2B" w:rsidRPr="00335099">
        <w:rPr>
          <w:rFonts w:asciiTheme="minorHAnsi" w:hAnsiTheme="minorHAnsi"/>
          <w:lang w:val="en-GB"/>
        </w:rPr>
        <w:t xml:space="preserve"> </w:t>
      </w:r>
    </w:p>
    <w:p w14:paraId="2B00ABCE" w14:textId="15312B5D" w:rsidR="00D57E83" w:rsidRPr="00931046" w:rsidRDefault="00D57E83" w:rsidP="006D3F2B">
      <w:pPr>
        <w:pStyle w:val="ListParagraph"/>
        <w:ind w:left="567" w:hanging="567"/>
        <w:rPr>
          <w:rFonts w:asciiTheme="minorHAnsi" w:hAnsiTheme="minorHAnsi"/>
          <w:lang w:val="en-GB"/>
        </w:rPr>
      </w:pPr>
      <w:r w:rsidRPr="00713392">
        <w:rPr>
          <w:rFonts w:asciiTheme="minorHAnsi" w:hAnsiTheme="minorHAnsi" w:cs="Times Roman"/>
          <w:color w:val="000000"/>
          <w:szCs w:val="22"/>
        </w:rPr>
        <w:lastRenderedPageBreak/>
        <w:t xml:space="preserve">It is not clear in the accounts as to what share of total sales (or total exports) is accounted for by </w:t>
      </w:r>
      <w:proofErr w:type="spellStart"/>
      <w:r w:rsidRPr="00713392">
        <w:rPr>
          <w:rFonts w:asciiTheme="minorHAnsi" w:hAnsiTheme="minorHAnsi" w:cs="Times Roman"/>
          <w:color w:val="000000"/>
          <w:szCs w:val="22"/>
        </w:rPr>
        <w:t>Globakeries</w:t>
      </w:r>
      <w:proofErr w:type="spellEnd"/>
      <w:r w:rsidRPr="00713392">
        <w:rPr>
          <w:rFonts w:asciiTheme="minorHAnsi" w:hAnsiTheme="minorHAnsi" w:cs="Times Roman"/>
          <w:color w:val="000000"/>
          <w:szCs w:val="22"/>
        </w:rPr>
        <w:t xml:space="preserve">. However it is clear that </w:t>
      </w:r>
      <w:proofErr w:type="spellStart"/>
      <w:r w:rsidRPr="00713392">
        <w:rPr>
          <w:rFonts w:asciiTheme="minorHAnsi" w:hAnsiTheme="minorHAnsi" w:cs="Times Roman"/>
          <w:color w:val="000000"/>
          <w:szCs w:val="22"/>
        </w:rPr>
        <w:t>Globakeries</w:t>
      </w:r>
      <w:proofErr w:type="spellEnd"/>
      <w:r w:rsidRPr="00713392">
        <w:rPr>
          <w:rFonts w:asciiTheme="minorHAnsi" w:hAnsiTheme="minorHAnsi" w:cs="Times Roman"/>
          <w:color w:val="000000"/>
          <w:szCs w:val="22"/>
        </w:rPr>
        <w:t xml:space="preserve"> are the largest of LFM’s trade debtors. In 2018 receivables due from </w:t>
      </w:r>
      <w:proofErr w:type="spellStart"/>
      <w:r w:rsidRPr="00713392">
        <w:rPr>
          <w:rFonts w:asciiTheme="minorHAnsi" w:hAnsiTheme="minorHAnsi" w:cs="Times Roman"/>
          <w:color w:val="000000"/>
          <w:szCs w:val="22"/>
        </w:rPr>
        <w:t>Globakeries</w:t>
      </w:r>
      <w:proofErr w:type="spellEnd"/>
      <w:r w:rsidRPr="00713392">
        <w:rPr>
          <w:rFonts w:asciiTheme="minorHAnsi" w:hAnsiTheme="minorHAnsi" w:cs="Times Roman"/>
          <w:color w:val="000000"/>
          <w:szCs w:val="22"/>
        </w:rPr>
        <w:t xml:space="preserve"> </w:t>
      </w:r>
      <w:r w:rsidRPr="00B74536">
        <w:rPr>
          <w:rFonts w:asciiTheme="minorHAnsi" w:hAnsiTheme="minorHAnsi" w:cs="Times Roman"/>
          <w:color w:val="000000"/>
          <w:szCs w:val="22"/>
        </w:rPr>
        <w:t>was M22 million accounting for 40.3% of all trade receivables and in 2019 this rose to M25.7 million (35% of all trade receivables). As</w:t>
      </w:r>
      <w:r w:rsidR="004272E5" w:rsidRPr="00B74536">
        <w:rPr>
          <w:rFonts w:asciiTheme="minorHAnsi" w:hAnsiTheme="minorHAnsi" w:cs="Times Roman"/>
          <w:color w:val="000000"/>
          <w:szCs w:val="22"/>
        </w:rPr>
        <w:t xml:space="preserve"> highlighted above, John Ne</w:t>
      </w:r>
      <w:r w:rsidRPr="00133556">
        <w:rPr>
          <w:rFonts w:asciiTheme="minorHAnsi" w:hAnsiTheme="minorHAnsi" w:cs="Times Roman"/>
          <w:color w:val="000000"/>
          <w:szCs w:val="22"/>
        </w:rPr>
        <w:t xml:space="preserve">l of </w:t>
      </w:r>
      <w:proofErr w:type="spellStart"/>
      <w:r w:rsidRPr="00133556">
        <w:rPr>
          <w:rFonts w:asciiTheme="minorHAnsi" w:hAnsiTheme="minorHAnsi" w:cs="Times Roman"/>
          <w:color w:val="000000"/>
          <w:szCs w:val="22"/>
        </w:rPr>
        <w:t>Globakeries</w:t>
      </w:r>
      <w:proofErr w:type="spellEnd"/>
      <w:r w:rsidRPr="00133556">
        <w:rPr>
          <w:rFonts w:asciiTheme="minorHAnsi" w:hAnsiTheme="minorHAnsi" w:cs="Times Roman"/>
          <w:color w:val="000000"/>
          <w:szCs w:val="22"/>
        </w:rPr>
        <w:t xml:space="preserve"> is the new </w:t>
      </w:r>
      <w:r w:rsidR="006075E6" w:rsidRPr="002D1933">
        <w:rPr>
          <w:rFonts w:asciiTheme="minorHAnsi" w:hAnsiTheme="minorHAnsi" w:cs="Times Roman"/>
          <w:color w:val="000000"/>
          <w:szCs w:val="22"/>
        </w:rPr>
        <w:t>minority shareholder.</w:t>
      </w:r>
    </w:p>
    <w:p w14:paraId="6AA629D1" w14:textId="21441DFC" w:rsidR="006D3F2B" w:rsidRPr="00931046" w:rsidRDefault="002058CB" w:rsidP="00713392">
      <w:pPr>
        <w:rPr>
          <w:color w:val="000000" w:themeColor="text1"/>
          <w:szCs w:val="22"/>
          <w:lang w:val="en-GB"/>
        </w:rPr>
      </w:pPr>
      <w:r w:rsidRPr="00713392">
        <w:rPr>
          <w:rFonts w:asciiTheme="minorHAnsi" w:hAnsiTheme="minorHAnsi"/>
          <w:lang w:val="en-GB"/>
        </w:rPr>
        <w:t>It is difficult to conclude in a positive way regarding Lesotho Flour</w:t>
      </w:r>
      <w:r w:rsidR="006D3F2B" w:rsidRPr="00713392">
        <w:rPr>
          <w:rFonts w:asciiTheme="minorHAnsi" w:hAnsiTheme="minorHAnsi"/>
          <w:lang w:val="en-GB"/>
        </w:rPr>
        <w:t xml:space="preserve"> performance trend</w:t>
      </w:r>
      <w:r w:rsidRPr="00713392">
        <w:rPr>
          <w:rFonts w:asciiTheme="minorHAnsi" w:hAnsiTheme="minorHAnsi"/>
          <w:lang w:val="en-GB"/>
        </w:rPr>
        <w:t xml:space="preserve">s, from </w:t>
      </w:r>
      <w:r w:rsidR="00596D0C">
        <w:rPr>
          <w:rFonts w:asciiTheme="minorHAnsi" w:hAnsiTheme="minorHAnsi"/>
          <w:lang w:val="en-GB"/>
        </w:rPr>
        <w:t xml:space="preserve">the </w:t>
      </w:r>
      <w:r w:rsidRPr="00713392">
        <w:rPr>
          <w:rFonts w:asciiTheme="minorHAnsi" w:hAnsiTheme="minorHAnsi"/>
          <w:lang w:val="en-GB"/>
        </w:rPr>
        <w:t xml:space="preserve">Government’s perspective. </w:t>
      </w:r>
      <w:r w:rsidR="00596D0C">
        <w:rPr>
          <w:rFonts w:asciiTheme="minorHAnsi" w:hAnsiTheme="minorHAnsi"/>
          <w:lang w:val="en-GB"/>
        </w:rPr>
        <w:t>It seems questionable as to why Seaboard wishes to continue with the relationship when LFM has made no or almost no profits and declared precious</w:t>
      </w:r>
      <w:r w:rsidR="00F33275">
        <w:rPr>
          <w:rFonts w:asciiTheme="minorHAnsi" w:hAnsiTheme="minorHAnsi"/>
          <w:lang w:val="en-GB"/>
        </w:rPr>
        <w:t xml:space="preserve"> little dividends in the past 20</w:t>
      </w:r>
      <w:r w:rsidR="00596D0C">
        <w:rPr>
          <w:rFonts w:asciiTheme="minorHAnsi" w:hAnsiTheme="minorHAnsi"/>
          <w:lang w:val="en-GB"/>
        </w:rPr>
        <w:t xml:space="preserve"> years. </w:t>
      </w:r>
      <w:r w:rsidRPr="00713392">
        <w:rPr>
          <w:rFonts w:asciiTheme="minorHAnsi" w:hAnsiTheme="minorHAnsi"/>
          <w:lang w:val="en-GB"/>
        </w:rPr>
        <w:t xml:space="preserve">An aggressive approach towards revising management agreements and ensuring performance against agreed plans is a must. Government must ensure there is fair representation and plans and results must be shared with PSD. A wait-and-see approach is too risky and plans for continued profitability and an improvement in trend indicators is required. </w:t>
      </w:r>
    </w:p>
    <w:p w14:paraId="6A7FD595" w14:textId="77777777" w:rsidR="006D3F2B" w:rsidRPr="00D25BE7" w:rsidRDefault="006D3F2B" w:rsidP="006D3F2B">
      <w:pPr>
        <w:rPr>
          <w:rFonts w:asciiTheme="minorHAnsi" w:hAnsiTheme="minorHAnsi"/>
          <w:color w:val="000000" w:themeColor="text1"/>
          <w:szCs w:val="22"/>
          <w:lang w:val="en-GB"/>
        </w:rPr>
      </w:pPr>
    </w:p>
    <w:p w14:paraId="4531ADD7" w14:textId="63846ECD" w:rsidR="006D3F2B" w:rsidRPr="00D25BE7" w:rsidRDefault="006D3F2B" w:rsidP="006D3F2B">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Relevant performance data for FY’1</w:t>
      </w:r>
      <w:r w:rsidR="004272E5">
        <w:rPr>
          <w:rFonts w:asciiTheme="minorHAnsi" w:hAnsiTheme="minorHAnsi"/>
          <w:color w:val="000000" w:themeColor="text1"/>
          <w:lang w:val="en-GB"/>
        </w:rPr>
        <w:t>8</w:t>
      </w:r>
      <w:r w:rsidRPr="00D25BE7">
        <w:rPr>
          <w:rFonts w:asciiTheme="minorHAnsi" w:hAnsiTheme="minorHAnsi"/>
          <w:color w:val="000000" w:themeColor="text1"/>
          <w:lang w:val="en-GB"/>
        </w:rPr>
        <w:t xml:space="preserve"> is:</w:t>
      </w:r>
    </w:p>
    <w:p w14:paraId="1DE6DC7C" w14:textId="77049630" w:rsidR="006D3F2B" w:rsidRPr="005D564C" w:rsidRDefault="006D3F2B" w:rsidP="006D3F2B">
      <w:pPr>
        <w:rPr>
          <w:rFonts w:asciiTheme="minorHAnsi" w:hAnsiTheme="minorHAnsi"/>
          <w:b/>
          <w:sz w:val="20"/>
          <w:lang w:val="en-GB"/>
        </w:rPr>
      </w:pPr>
      <w:r w:rsidRPr="00713392">
        <w:rPr>
          <w:rFonts w:asciiTheme="minorHAnsi" w:hAnsiTheme="minorHAnsi"/>
          <w:b/>
          <w:sz w:val="20"/>
          <w:lang w:val="en-GB"/>
        </w:rPr>
        <w:t xml:space="preserve">Table </w:t>
      </w:r>
      <w:r w:rsidR="00BB2BB6" w:rsidRPr="00713392">
        <w:rPr>
          <w:rFonts w:asciiTheme="minorHAnsi" w:hAnsiTheme="minorHAnsi"/>
          <w:b/>
          <w:sz w:val="20"/>
          <w:lang w:val="en-GB"/>
        </w:rPr>
        <w:t>22</w:t>
      </w:r>
      <w:r w:rsidRPr="00713392">
        <w:rPr>
          <w:rFonts w:asciiTheme="minorHAnsi" w:hAnsiTheme="minorHAnsi"/>
          <w:b/>
          <w:sz w:val="20"/>
          <w:lang w:val="en-GB"/>
        </w:rPr>
        <w:t>: Performance Highlights – L</w:t>
      </w:r>
      <w:r w:rsidR="008E4680" w:rsidRPr="00713392">
        <w:rPr>
          <w:rFonts w:asciiTheme="minorHAnsi" w:hAnsiTheme="minorHAnsi"/>
          <w:b/>
          <w:sz w:val="20"/>
          <w:lang w:val="en-GB"/>
        </w:rPr>
        <w:t>esotho Flour</w:t>
      </w:r>
      <w:r w:rsidR="004272E5" w:rsidRPr="00BB2BB6">
        <w:rPr>
          <w:rFonts w:asciiTheme="minorHAnsi" w:hAnsiTheme="minorHAnsi"/>
          <w:b/>
          <w:sz w:val="20"/>
          <w:lang w:val="en-GB"/>
        </w:rPr>
        <w:t xml:space="preserve"> Mills</w:t>
      </w:r>
    </w:p>
    <w:p w14:paraId="41A7E7A5" w14:textId="77777777" w:rsidR="004272E5" w:rsidRPr="00D25BE7" w:rsidRDefault="004272E5" w:rsidP="006D3F2B">
      <w:pPr>
        <w:rPr>
          <w:rFonts w:asciiTheme="minorHAnsi" w:hAnsiTheme="minorHAnsi"/>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1286"/>
        <w:gridCol w:w="1287"/>
        <w:gridCol w:w="1287"/>
        <w:gridCol w:w="1287"/>
        <w:gridCol w:w="1287"/>
      </w:tblGrid>
      <w:tr w:rsidR="00421CCB" w:rsidRPr="008D0CEB" w14:paraId="5359BC24" w14:textId="77777777" w:rsidTr="00F33275">
        <w:trPr>
          <w:trHeight w:val="360"/>
          <w:tblHeader/>
          <w:jc w:val="center"/>
        </w:trPr>
        <w:tc>
          <w:tcPr>
            <w:tcW w:w="1860" w:type="dxa"/>
            <w:shd w:val="clear" w:color="auto" w:fill="D9D9D9" w:themeFill="background1" w:themeFillShade="D9"/>
            <w:noWrap/>
            <w:vAlign w:val="center"/>
            <w:hideMark/>
          </w:tcPr>
          <w:p w14:paraId="3CA5508C" w14:textId="77777777" w:rsidR="00421CCB" w:rsidRPr="00F33275" w:rsidRDefault="00421CCB" w:rsidP="005A1DD4">
            <w:pPr>
              <w:ind w:firstLine="42"/>
              <w:rPr>
                <w:rFonts w:asciiTheme="minorHAnsi" w:hAnsiTheme="minorHAnsi"/>
                <w:sz w:val="18"/>
                <w:szCs w:val="18"/>
                <w:lang w:eastAsia="en-GB"/>
              </w:rPr>
            </w:pPr>
            <w:r w:rsidRPr="00F33275">
              <w:rPr>
                <w:rFonts w:asciiTheme="minorHAnsi" w:hAnsiTheme="minorHAnsi"/>
                <w:sz w:val="18"/>
                <w:szCs w:val="18"/>
                <w:lang w:eastAsia="en-GB"/>
              </w:rPr>
              <w:t>Performance Highlights (M '000)</w:t>
            </w:r>
          </w:p>
        </w:tc>
        <w:tc>
          <w:tcPr>
            <w:tcW w:w="1286" w:type="dxa"/>
            <w:shd w:val="clear" w:color="auto" w:fill="D9D9D9" w:themeFill="background1" w:themeFillShade="D9"/>
            <w:vAlign w:val="center"/>
          </w:tcPr>
          <w:p w14:paraId="2D0FD9FC" w14:textId="77777777" w:rsidR="00421CCB" w:rsidRPr="00F33275" w:rsidRDefault="00421CCB" w:rsidP="005A1DD4">
            <w:pPr>
              <w:jc w:val="center"/>
              <w:rPr>
                <w:rFonts w:asciiTheme="minorHAnsi" w:hAnsiTheme="minorHAnsi" w:cstheme="minorHAnsi"/>
                <w:b/>
                <w:bCs/>
                <w:color w:val="000000"/>
                <w:sz w:val="18"/>
                <w:szCs w:val="18"/>
                <w:lang w:eastAsia="en-GB"/>
              </w:rPr>
            </w:pPr>
            <w:r w:rsidRPr="00F33275">
              <w:rPr>
                <w:rFonts w:asciiTheme="minorHAnsi" w:hAnsiTheme="minorHAnsi" w:cstheme="minorHAnsi"/>
                <w:b/>
                <w:bCs/>
                <w:sz w:val="18"/>
                <w:szCs w:val="18"/>
                <w:lang w:eastAsia="en-GB"/>
              </w:rPr>
              <w:t>2014/15</w:t>
            </w:r>
          </w:p>
        </w:tc>
        <w:tc>
          <w:tcPr>
            <w:tcW w:w="1287" w:type="dxa"/>
            <w:shd w:val="clear" w:color="auto" w:fill="D9D9D9" w:themeFill="background1" w:themeFillShade="D9"/>
            <w:vAlign w:val="center"/>
          </w:tcPr>
          <w:p w14:paraId="542A6B31" w14:textId="77777777" w:rsidR="00421CCB" w:rsidRPr="00F33275" w:rsidRDefault="00421CCB" w:rsidP="005A1DD4">
            <w:pPr>
              <w:jc w:val="center"/>
              <w:rPr>
                <w:rFonts w:asciiTheme="minorHAnsi" w:hAnsiTheme="minorHAnsi" w:cstheme="minorHAnsi"/>
                <w:b/>
                <w:bCs/>
                <w:color w:val="000000"/>
                <w:sz w:val="18"/>
                <w:szCs w:val="18"/>
                <w:lang w:eastAsia="en-GB"/>
              </w:rPr>
            </w:pPr>
            <w:r w:rsidRPr="00F33275">
              <w:rPr>
                <w:rFonts w:asciiTheme="minorHAnsi" w:hAnsiTheme="minorHAnsi" w:cstheme="minorHAnsi"/>
                <w:b/>
                <w:bCs/>
                <w:sz w:val="18"/>
                <w:szCs w:val="18"/>
                <w:lang w:eastAsia="en-GB"/>
              </w:rPr>
              <w:t>2015/16</w:t>
            </w:r>
          </w:p>
        </w:tc>
        <w:tc>
          <w:tcPr>
            <w:tcW w:w="1287" w:type="dxa"/>
            <w:shd w:val="clear" w:color="auto" w:fill="D9D9D9" w:themeFill="background1" w:themeFillShade="D9"/>
            <w:vAlign w:val="center"/>
            <w:hideMark/>
          </w:tcPr>
          <w:p w14:paraId="7A5F1E0C" w14:textId="77777777" w:rsidR="00421CCB" w:rsidRPr="00F33275" w:rsidRDefault="00421CCB" w:rsidP="005A1DD4">
            <w:pPr>
              <w:jc w:val="center"/>
              <w:rPr>
                <w:rFonts w:asciiTheme="minorHAnsi" w:hAnsiTheme="minorHAnsi" w:cstheme="minorHAnsi"/>
                <w:b/>
                <w:bCs/>
                <w:sz w:val="18"/>
                <w:szCs w:val="18"/>
                <w:lang w:eastAsia="en-GB"/>
              </w:rPr>
            </w:pPr>
            <w:r w:rsidRPr="00F33275">
              <w:rPr>
                <w:rFonts w:asciiTheme="minorHAnsi" w:hAnsiTheme="minorHAnsi" w:cstheme="minorHAnsi"/>
                <w:b/>
                <w:bCs/>
                <w:sz w:val="18"/>
                <w:szCs w:val="18"/>
                <w:lang w:eastAsia="en-GB"/>
              </w:rPr>
              <w:t>2016/17</w:t>
            </w:r>
          </w:p>
        </w:tc>
        <w:tc>
          <w:tcPr>
            <w:tcW w:w="1287" w:type="dxa"/>
            <w:shd w:val="clear" w:color="auto" w:fill="D9D9D9" w:themeFill="background1" w:themeFillShade="D9"/>
            <w:vAlign w:val="center"/>
          </w:tcPr>
          <w:p w14:paraId="5122D9FD" w14:textId="753B1585" w:rsidR="00421CCB" w:rsidRPr="00F33275" w:rsidRDefault="00421CCB" w:rsidP="005A1DD4">
            <w:pPr>
              <w:jc w:val="center"/>
              <w:rPr>
                <w:rFonts w:asciiTheme="minorHAnsi" w:hAnsiTheme="minorHAnsi" w:cstheme="minorHAnsi"/>
                <w:b/>
                <w:bCs/>
                <w:color w:val="000000"/>
                <w:sz w:val="18"/>
                <w:szCs w:val="18"/>
                <w:lang w:eastAsia="en-GB"/>
              </w:rPr>
            </w:pPr>
            <w:r w:rsidRPr="00F33275">
              <w:rPr>
                <w:rFonts w:asciiTheme="minorHAnsi" w:hAnsiTheme="minorHAnsi" w:cstheme="minorHAnsi"/>
                <w:b/>
                <w:bCs/>
                <w:sz w:val="18"/>
                <w:szCs w:val="18"/>
                <w:lang w:eastAsia="en-GB"/>
              </w:rPr>
              <w:t>2017/18</w:t>
            </w:r>
          </w:p>
        </w:tc>
        <w:tc>
          <w:tcPr>
            <w:tcW w:w="1287" w:type="dxa"/>
            <w:shd w:val="clear" w:color="auto" w:fill="D9D9D9" w:themeFill="background1" w:themeFillShade="D9"/>
            <w:noWrap/>
            <w:vAlign w:val="center"/>
            <w:hideMark/>
          </w:tcPr>
          <w:p w14:paraId="2E10BE1A" w14:textId="24688B8A" w:rsidR="00421CCB" w:rsidRPr="00F33275" w:rsidRDefault="00421CCB" w:rsidP="005A1DD4">
            <w:pPr>
              <w:jc w:val="center"/>
              <w:rPr>
                <w:rFonts w:asciiTheme="minorHAnsi" w:hAnsiTheme="minorHAnsi" w:cstheme="minorHAnsi"/>
                <w:b/>
                <w:bCs/>
                <w:color w:val="000000"/>
                <w:sz w:val="18"/>
                <w:szCs w:val="18"/>
                <w:lang w:eastAsia="en-GB"/>
              </w:rPr>
            </w:pPr>
            <w:r w:rsidRPr="00F33275">
              <w:rPr>
                <w:rFonts w:asciiTheme="minorHAnsi" w:hAnsiTheme="minorHAnsi" w:cstheme="minorHAnsi"/>
                <w:b/>
                <w:bCs/>
                <w:color w:val="000000"/>
                <w:sz w:val="18"/>
                <w:szCs w:val="18"/>
                <w:lang w:eastAsia="en-GB"/>
              </w:rPr>
              <w:t>4-yr Average</w:t>
            </w:r>
          </w:p>
        </w:tc>
      </w:tr>
      <w:tr w:rsidR="00421CCB" w:rsidRPr="008D0CEB" w14:paraId="42EC0988" w14:textId="77777777" w:rsidTr="00F33275">
        <w:trPr>
          <w:trHeight w:val="360"/>
          <w:jc w:val="center"/>
        </w:trPr>
        <w:tc>
          <w:tcPr>
            <w:tcW w:w="1860" w:type="dxa"/>
            <w:shd w:val="clear" w:color="000000" w:fill="FFFFFF"/>
            <w:noWrap/>
            <w:vAlign w:val="center"/>
            <w:hideMark/>
          </w:tcPr>
          <w:p w14:paraId="3493A2F8" w14:textId="77777777" w:rsidR="00421CCB" w:rsidRPr="00F33275" w:rsidRDefault="00421CC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Total Revenue</w:t>
            </w:r>
          </w:p>
        </w:tc>
        <w:tc>
          <w:tcPr>
            <w:tcW w:w="1286" w:type="dxa"/>
            <w:vAlign w:val="center"/>
          </w:tcPr>
          <w:p w14:paraId="1EDFE188" w14:textId="4EC29FBC"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645,141</w:t>
            </w:r>
          </w:p>
        </w:tc>
        <w:tc>
          <w:tcPr>
            <w:tcW w:w="1287" w:type="dxa"/>
            <w:vAlign w:val="center"/>
          </w:tcPr>
          <w:p w14:paraId="0DDBE54B" w14:textId="41081CAA"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603,948</w:t>
            </w:r>
          </w:p>
        </w:tc>
        <w:tc>
          <w:tcPr>
            <w:tcW w:w="1287" w:type="dxa"/>
            <w:shd w:val="clear" w:color="auto" w:fill="auto"/>
            <w:noWrap/>
            <w:vAlign w:val="center"/>
            <w:hideMark/>
          </w:tcPr>
          <w:p w14:paraId="47F81B47" w14:textId="0B285A98"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870,887</w:t>
            </w:r>
          </w:p>
        </w:tc>
        <w:tc>
          <w:tcPr>
            <w:tcW w:w="1287" w:type="dxa"/>
            <w:vAlign w:val="center"/>
          </w:tcPr>
          <w:p w14:paraId="5B2F1A1C" w14:textId="18064192" w:rsidR="00421CCB" w:rsidRPr="00F33275" w:rsidRDefault="00187DA3" w:rsidP="00187DA3">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797,321</w:t>
            </w:r>
          </w:p>
        </w:tc>
        <w:tc>
          <w:tcPr>
            <w:tcW w:w="1287" w:type="dxa"/>
            <w:shd w:val="clear" w:color="auto" w:fill="auto"/>
            <w:noWrap/>
            <w:vAlign w:val="center"/>
            <w:hideMark/>
          </w:tcPr>
          <w:p w14:paraId="143B5301" w14:textId="6A9B92F3" w:rsidR="00421CCB" w:rsidRPr="00F33275" w:rsidRDefault="00AA123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729,324</w:t>
            </w:r>
          </w:p>
        </w:tc>
      </w:tr>
      <w:tr w:rsidR="00421CCB" w:rsidRPr="008D0CEB" w14:paraId="01F42F5E" w14:textId="77777777" w:rsidTr="00F33275">
        <w:trPr>
          <w:trHeight w:val="360"/>
          <w:jc w:val="center"/>
        </w:trPr>
        <w:tc>
          <w:tcPr>
            <w:tcW w:w="1860" w:type="dxa"/>
            <w:shd w:val="clear" w:color="000000" w:fill="FFFFFF"/>
            <w:noWrap/>
            <w:vAlign w:val="center"/>
            <w:hideMark/>
          </w:tcPr>
          <w:p w14:paraId="74367AC6" w14:textId="77777777" w:rsidR="00421CCB" w:rsidRPr="00F33275" w:rsidRDefault="00421CC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Net Operating Profit After Tax</w:t>
            </w:r>
          </w:p>
        </w:tc>
        <w:tc>
          <w:tcPr>
            <w:tcW w:w="1286" w:type="dxa"/>
            <w:vAlign w:val="center"/>
          </w:tcPr>
          <w:p w14:paraId="6910EBFF" w14:textId="711B95CA"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(12,175)</w:t>
            </w:r>
          </w:p>
        </w:tc>
        <w:tc>
          <w:tcPr>
            <w:tcW w:w="1287" w:type="dxa"/>
            <w:vAlign w:val="center"/>
          </w:tcPr>
          <w:p w14:paraId="493A8F65" w14:textId="2049DA03"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(15,301)</w:t>
            </w:r>
          </w:p>
        </w:tc>
        <w:tc>
          <w:tcPr>
            <w:tcW w:w="1287" w:type="dxa"/>
            <w:shd w:val="clear" w:color="auto" w:fill="auto"/>
            <w:noWrap/>
            <w:vAlign w:val="center"/>
            <w:hideMark/>
          </w:tcPr>
          <w:p w14:paraId="669BF5E6" w14:textId="25E204E2"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25,956</w:t>
            </w:r>
          </w:p>
        </w:tc>
        <w:tc>
          <w:tcPr>
            <w:tcW w:w="1287" w:type="dxa"/>
            <w:vAlign w:val="center"/>
          </w:tcPr>
          <w:p w14:paraId="3CFA61D7" w14:textId="1D51EF75" w:rsidR="00421CCB" w:rsidRPr="00F33275" w:rsidRDefault="000D1396" w:rsidP="00187DA3">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29,887</w:t>
            </w:r>
          </w:p>
        </w:tc>
        <w:tc>
          <w:tcPr>
            <w:tcW w:w="1287" w:type="dxa"/>
            <w:shd w:val="clear" w:color="auto" w:fill="auto"/>
            <w:noWrap/>
            <w:vAlign w:val="center"/>
            <w:hideMark/>
          </w:tcPr>
          <w:p w14:paraId="08355B17" w14:textId="6D61645E" w:rsidR="00421CCB" w:rsidRPr="00F33275" w:rsidRDefault="00AA123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7</w:t>
            </w:r>
            <w:r w:rsidR="0092346A" w:rsidRPr="00F33275">
              <w:rPr>
                <w:rFonts w:asciiTheme="minorHAnsi" w:hAnsiTheme="minorHAnsi" w:cstheme="minorHAnsi"/>
                <w:color w:val="000000" w:themeColor="text1"/>
                <w:sz w:val="18"/>
                <w:szCs w:val="18"/>
                <w:lang w:eastAsia="en-GB"/>
              </w:rPr>
              <w:t>,</w:t>
            </w:r>
            <w:r w:rsidRPr="00F33275">
              <w:rPr>
                <w:rFonts w:asciiTheme="minorHAnsi" w:hAnsiTheme="minorHAnsi" w:cstheme="minorHAnsi"/>
                <w:color w:val="000000" w:themeColor="text1"/>
                <w:sz w:val="18"/>
                <w:szCs w:val="18"/>
                <w:lang w:eastAsia="en-GB"/>
              </w:rPr>
              <w:t>092</w:t>
            </w:r>
          </w:p>
        </w:tc>
      </w:tr>
      <w:tr w:rsidR="00421CCB" w:rsidRPr="008D0CEB" w14:paraId="51DBA405" w14:textId="77777777" w:rsidTr="00F33275">
        <w:trPr>
          <w:trHeight w:val="360"/>
          <w:jc w:val="center"/>
        </w:trPr>
        <w:tc>
          <w:tcPr>
            <w:tcW w:w="1860" w:type="dxa"/>
            <w:shd w:val="clear" w:color="000000" w:fill="FFFFFF"/>
            <w:noWrap/>
            <w:vAlign w:val="center"/>
            <w:hideMark/>
          </w:tcPr>
          <w:p w14:paraId="0FC9CA7F" w14:textId="28588CC5" w:rsidR="00421CCB" w:rsidRPr="00F33275" w:rsidRDefault="00421CC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Dividends Paid to GoL</w:t>
            </w:r>
          </w:p>
        </w:tc>
        <w:tc>
          <w:tcPr>
            <w:tcW w:w="1286" w:type="dxa"/>
            <w:vAlign w:val="center"/>
          </w:tcPr>
          <w:p w14:paraId="4B6A1718" w14:textId="6CA8BAAC"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  </w:t>
            </w:r>
          </w:p>
        </w:tc>
        <w:tc>
          <w:tcPr>
            <w:tcW w:w="1287" w:type="dxa"/>
            <w:vAlign w:val="center"/>
          </w:tcPr>
          <w:p w14:paraId="4004E3F6" w14:textId="555509D9"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  </w:t>
            </w:r>
          </w:p>
        </w:tc>
        <w:tc>
          <w:tcPr>
            <w:tcW w:w="1287" w:type="dxa"/>
            <w:shd w:val="clear" w:color="auto" w:fill="auto"/>
            <w:noWrap/>
            <w:vAlign w:val="center"/>
            <w:hideMark/>
          </w:tcPr>
          <w:p w14:paraId="16AA31F5" w14:textId="3B700D28"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  </w:t>
            </w:r>
          </w:p>
        </w:tc>
        <w:tc>
          <w:tcPr>
            <w:tcW w:w="1287" w:type="dxa"/>
            <w:vAlign w:val="center"/>
          </w:tcPr>
          <w:p w14:paraId="41D9A7A6" w14:textId="77777777" w:rsidR="00421CCB" w:rsidRPr="00F33275" w:rsidRDefault="00421CCB" w:rsidP="00187DA3">
            <w:pPr>
              <w:keepNext/>
              <w:keepLines/>
              <w:spacing w:before="120" w:line="276" w:lineRule="auto"/>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1A4B3276" w14:textId="6C883EAF"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 </w:t>
            </w:r>
          </w:p>
        </w:tc>
      </w:tr>
      <w:tr w:rsidR="00421CCB" w:rsidRPr="008D0CEB" w14:paraId="06ECBDEE" w14:textId="77777777" w:rsidTr="00F33275">
        <w:trPr>
          <w:trHeight w:val="360"/>
          <w:jc w:val="center"/>
        </w:trPr>
        <w:tc>
          <w:tcPr>
            <w:tcW w:w="1860" w:type="dxa"/>
            <w:shd w:val="clear" w:color="000000" w:fill="FFFFFF"/>
            <w:noWrap/>
            <w:vAlign w:val="center"/>
            <w:hideMark/>
          </w:tcPr>
          <w:p w14:paraId="723034C5" w14:textId="77777777" w:rsidR="00421CCB" w:rsidRPr="00F33275" w:rsidRDefault="00421CC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Total Assets</w:t>
            </w:r>
          </w:p>
        </w:tc>
        <w:tc>
          <w:tcPr>
            <w:tcW w:w="1286" w:type="dxa"/>
            <w:vAlign w:val="center"/>
          </w:tcPr>
          <w:p w14:paraId="3E656B6B" w14:textId="4CC70AE8"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271,968</w:t>
            </w:r>
          </w:p>
        </w:tc>
        <w:tc>
          <w:tcPr>
            <w:tcW w:w="1287" w:type="dxa"/>
            <w:vAlign w:val="center"/>
          </w:tcPr>
          <w:p w14:paraId="53D6B978" w14:textId="0BFBE37D"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242,201</w:t>
            </w:r>
          </w:p>
        </w:tc>
        <w:tc>
          <w:tcPr>
            <w:tcW w:w="1287" w:type="dxa"/>
            <w:shd w:val="clear" w:color="auto" w:fill="auto"/>
            <w:noWrap/>
            <w:vAlign w:val="center"/>
          </w:tcPr>
          <w:p w14:paraId="6F960303" w14:textId="36405682"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377,845</w:t>
            </w:r>
          </w:p>
        </w:tc>
        <w:tc>
          <w:tcPr>
            <w:tcW w:w="1287" w:type="dxa"/>
            <w:vAlign w:val="center"/>
          </w:tcPr>
          <w:p w14:paraId="104CBA33" w14:textId="6B5C25D5" w:rsidR="00421CCB" w:rsidRPr="00F33275" w:rsidRDefault="000D1396" w:rsidP="00187DA3">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278,398</w:t>
            </w:r>
          </w:p>
        </w:tc>
        <w:tc>
          <w:tcPr>
            <w:tcW w:w="1287" w:type="dxa"/>
            <w:shd w:val="clear" w:color="auto" w:fill="auto"/>
            <w:noWrap/>
            <w:vAlign w:val="center"/>
            <w:hideMark/>
          </w:tcPr>
          <w:p w14:paraId="68FE82CC" w14:textId="4C546029" w:rsidR="00421CCB" w:rsidRPr="00F33275" w:rsidRDefault="0092346A"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292,603</w:t>
            </w:r>
          </w:p>
        </w:tc>
      </w:tr>
      <w:tr w:rsidR="00421CCB" w:rsidRPr="008D0CEB" w14:paraId="54F3DE67" w14:textId="77777777" w:rsidTr="00F33275">
        <w:trPr>
          <w:trHeight w:val="360"/>
          <w:jc w:val="center"/>
        </w:trPr>
        <w:tc>
          <w:tcPr>
            <w:tcW w:w="1860" w:type="dxa"/>
            <w:shd w:val="clear" w:color="000000" w:fill="FFFFFF"/>
            <w:noWrap/>
            <w:vAlign w:val="center"/>
            <w:hideMark/>
          </w:tcPr>
          <w:p w14:paraId="433F0391" w14:textId="77777777" w:rsidR="00421CCB" w:rsidRPr="00F33275" w:rsidRDefault="00421CC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Total Liabilities</w:t>
            </w:r>
          </w:p>
        </w:tc>
        <w:tc>
          <w:tcPr>
            <w:tcW w:w="1286" w:type="dxa"/>
            <w:vAlign w:val="center"/>
          </w:tcPr>
          <w:p w14:paraId="63789CAD" w14:textId="3F462A5A"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163,967</w:t>
            </w:r>
          </w:p>
        </w:tc>
        <w:tc>
          <w:tcPr>
            <w:tcW w:w="1287" w:type="dxa"/>
            <w:vAlign w:val="center"/>
          </w:tcPr>
          <w:p w14:paraId="251F923C" w14:textId="418DC2CA"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149,569</w:t>
            </w:r>
          </w:p>
        </w:tc>
        <w:tc>
          <w:tcPr>
            <w:tcW w:w="1287" w:type="dxa"/>
            <w:shd w:val="clear" w:color="auto" w:fill="auto"/>
            <w:noWrap/>
            <w:vAlign w:val="center"/>
          </w:tcPr>
          <w:p w14:paraId="4739C52A" w14:textId="685DEBA1"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259,487</w:t>
            </w:r>
          </w:p>
        </w:tc>
        <w:tc>
          <w:tcPr>
            <w:tcW w:w="1287" w:type="dxa"/>
            <w:vAlign w:val="center"/>
          </w:tcPr>
          <w:p w14:paraId="30A05C8D" w14:textId="49243D69" w:rsidR="00421CCB" w:rsidRPr="00F33275" w:rsidRDefault="000D1396" w:rsidP="00187DA3">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130,781</w:t>
            </w:r>
          </w:p>
        </w:tc>
        <w:tc>
          <w:tcPr>
            <w:tcW w:w="1287" w:type="dxa"/>
            <w:shd w:val="clear" w:color="auto" w:fill="auto"/>
            <w:noWrap/>
            <w:vAlign w:val="center"/>
            <w:hideMark/>
          </w:tcPr>
          <w:p w14:paraId="0E4DAD09" w14:textId="5BF9E207" w:rsidR="00421CCB" w:rsidRPr="00F33275" w:rsidRDefault="0092346A"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175,951</w:t>
            </w:r>
          </w:p>
        </w:tc>
      </w:tr>
      <w:tr w:rsidR="00421CCB" w:rsidRPr="008D0CEB" w14:paraId="149918C4" w14:textId="77777777" w:rsidTr="00F33275">
        <w:trPr>
          <w:trHeight w:val="360"/>
          <w:jc w:val="center"/>
        </w:trPr>
        <w:tc>
          <w:tcPr>
            <w:tcW w:w="1860" w:type="dxa"/>
            <w:shd w:val="clear" w:color="000000" w:fill="FFFFFF"/>
            <w:noWrap/>
            <w:vAlign w:val="center"/>
            <w:hideMark/>
          </w:tcPr>
          <w:p w14:paraId="2AA7EEBC" w14:textId="77777777" w:rsidR="00421CCB" w:rsidRPr="00F33275" w:rsidRDefault="00421CC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Shareholders' Funds</w:t>
            </w:r>
          </w:p>
        </w:tc>
        <w:tc>
          <w:tcPr>
            <w:tcW w:w="1286" w:type="dxa"/>
            <w:vAlign w:val="center"/>
          </w:tcPr>
          <w:p w14:paraId="077E698F" w14:textId="6FE0D8CE"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108,001</w:t>
            </w:r>
          </w:p>
        </w:tc>
        <w:tc>
          <w:tcPr>
            <w:tcW w:w="1287" w:type="dxa"/>
            <w:vAlign w:val="center"/>
          </w:tcPr>
          <w:p w14:paraId="17A43C76" w14:textId="1417A423"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92,632</w:t>
            </w:r>
          </w:p>
        </w:tc>
        <w:tc>
          <w:tcPr>
            <w:tcW w:w="1287" w:type="dxa"/>
            <w:shd w:val="clear" w:color="auto" w:fill="auto"/>
            <w:noWrap/>
            <w:vAlign w:val="center"/>
          </w:tcPr>
          <w:p w14:paraId="12B04679" w14:textId="18F4F7FA"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118,358</w:t>
            </w:r>
          </w:p>
        </w:tc>
        <w:tc>
          <w:tcPr>
            <w:tcW w:w="1287" w:type="dxa"/>
            <w:vAlign w:val="center"/>
          </w:tcPr>
          <w:p w14:paraId="349803DA" w14:textId="0E54C7AE" w:rsidR="00421CCB" w:rsidRPr="00F33275" w:rsidRDefault="000D1396" w:rsidP="00187DA3">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147,617</w:t>
            </w:r>
          </w:p>
        </w:tc>
        <w:tc>
          <w:tcPr>
            <w:tcW w:w="1287" w:type="dxa"/>
            <w:shd w:val="clear" w:color="auto" w:fill="auto"/>
            <w:noWrap/>
            <w:vAlign w:val="center"/>
            <w:hideMark/>
          </w:tcPr>
          <w:p w14:paraId="0F8C4E00" w14:textId="1C611E48" w:rsidR="00421CCB" w:rsidRPr="00F33275" w:rsidRDefault="0092346A"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116,652</w:t>
            </w:r>
          </w:p>
        </w:tc>
      </w:tr>
      <w:tr w:rsidR="00421CCB" w:rsidRPr="008D0CEB" w14:paraId="3F66148A" w14:textId="77777777" w:rsidTr="00F33275">
        <w:trPr>
          <w:trHeight w:val="360"/>
          <w:jc w:val="center"/>
        </w:trPr>
        <w:tc>
          <w:tcPr>
            <w:tcW w:w="1860" w:type="dxa"/>
            <w:shd w:val="clear" w:color="000000" w:fill="FFFFFF"/>
            <w:noWrap/>
            <w:vAlign w:val="center"/>
          </w:tcPr>
          <w:p w14:paraId="5057C49C" w14:textId="77777777" w:rsidR="00421CCB" w:rsidRPr="00F33275" w:rsidRDefault="00421CC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EBITDA %</w:t>
            </w:r>
          </w:p>
        </w:tc>
        <w:tc>
          <w:tcPr>
            <w:tcW w:w="1286" w:type="dxa"/>
            <w:vAlign w:val="center"/>
          </w:tcPr>
          <w:p w14:paraId="521E715B" w14:textId="08ADF557"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w:t>
            </w:r>
          </w:p>
        </w:tc>
        <w:tc>
          <w:tcPr>
            <w:tcW w:w="1287" w:type="dxa"/>
            <w:vAlign w:val="center"/>
          </w:tcPr>
          <w:p w14:paraId="74EFA458" w14:textId="4CD59CE4"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w:t>
            </w:r>
          </w:p>
        </w:tc>
        <w:tc>
          <w:tcPr>
            <w:tcW w:w="1287" w:type="dxa"/>
            <w:shd w:val="clear" w:color="auto" w:fill="auto"/>
            <w:noWrap/>
            <w:vAlign w:val="center"/>
          </w:tcPr>
          <w:p w14:paraId="2880C094" w14:textId="4E2C58D2"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w:t>
            </w:r>
          </w:p>
        </w:tc>
        <w:tc>
          <w:tcPr>
            <w:tcW w:w="1287" w:type="dxa"/>
            <w:vAlign w:val="center"/>
          </w:tcPr>
          <w:p w14:paraId="7D31EA98" w14:textId="657D0C37" w:rsidR="00421CCB" w:rsidRPr="00F33275" w:rsidRDefault="000D1396" w:rsidP="00187DA3">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5%</w:t>
            </w:r>
          </w:p>
        </w:tc>
        <w:tc>
          <w:tcPr>
            <w:tcW w:w="1287" w:type="dxa"/>
            <w:shd w:val="clear" w:color="auto" w:fill="auto"/>
            <w:noWrap/>
            <w:vAlign w:val="center"/>
          </w:tcPr>
          <w:p w14:paraId="6E68A3F0" w14:textId="54D36DAC" w:rsidR="00421CCB" w:rsidRPr="00F33275" w:rsidRDefault="0092346A"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1.5</w:t>
            </w:r>
            <w:r w:rsidR="00421CCB" w:rsidRPr="00F33275">
              <w:rPr>
                <w:rFonts w:asciiTheme="minorHAnsi" w:hAnsiTheme="minorHAnsi" w:cstheme="minorHAnsi"/>
                <w:color w:val="000000" w:themeColor="text1"/>
                <w:sz w:val="18"/>
                <w:szCs w:val="18"/>
                <w:lang w:eastAsia="en-GB"/>
              </w:rPr>
              <w:t>%</w:t>
            </w:r>
          </w:p>
        </w:tc>
      </w:tr>
      <w:tr w:rsidR="00421CCB" w:rsidRPr="008D0CEB" w14:paraId="60002CBF" w14:textId="77777777" w:rsidTr="00F33275">
        <w:trPr>
          <w:trHeight w:val="360"/>
          <w:jc w:val="center"/>
        </w:trPr>
        <w:tc>
          <w:tcPr>
            <w:tcW w:w="1860" w:type="dxa"/>
            <w:shd w:val="clear" w:color="000000" w:fill="FFFFFF"/>
            <w:noWrap/>
            <w:vAlign w:val="center"/>
          </w:tcPr>
          <w:p w14:paraId="4A2ED0C4" w14:textId="77777777" w:rsidR="00421CCB" w:rsidRPr="00F33275" w:rsidRDefault="00421CC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NOPAT %</w:t>
            </w:r>
          </w:p>
        </w:tc>
        <w:tc>
          <w:tcPr>
            <w:tcW w:w="1286" w:type="dxa"/>
            <w:vAlign w:val="center"/>
          </w:tcPr>
          <w:p w14:paraId="010BD8DB" w14:textId="64212A7F"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(1.9%)</w:t>
            </w:r>
          </w:p>
        </w:tc>
        <w:tc>
          <w:tcPr>
            <w:tcW w:w="1287" w:type="dxa"/>
            <w:vAlign w:val="center"/>
          </w:tcPr>
          <w:p w14:paraId="3E8B0161" w14:textId="60A88ECC"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(2.5%)</w:t>
            </w:r>
          </w:p>
        </w:tc>
        <w:tc>
          <w:tcPr>
            <w:tcW w:w="1287" w:type="dxa"/>
            <w:shd w:val="clear" w:color="auto" w:fill="auto"/>
            <w:noWrap/>
            <w:vAlign w:val="center"/>
          </w:tcPr>
          <w:p w14:paraId="75C0CC70" w14:textId="4956A7DF"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3.0%</w:t>
            </w:r>
          </w:p>
        </w:tc>
        <w:tc>
          <w:tcPr>
            <w:tcW w:w="1287" w:type="dxa"/>
            <w:vAlign w:val="center"/>
          </w:tcPr>
          <w:p w14:paraId="046AB109" w14:textId="094A880E" w:rsidR="00421CCB" w:rsidRPr="00F33275" w:rsidRDefault="000D1396" w:rsidP="00187DA3">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3.7%</w:t>
            </w:r>
          </w:p>
        </w:tc>
        <w:tc>
          <w:tcPr>
            <w:tcW w:w="1287" w:type="dxa"/>
            <w:shd w:val="clear" w:color="auto" w:fill="auto"/>
            <w:noWrap/>
            <w:vAlign w:val="center"/>
          </w:tcPr>
          <w:p w14:paraId="006FE711" w14:textId="3915CE6B" w:rsidR="00421CCB" w:rsidRPr="00F33275" w:rsidRDefault="0092346A" w:rsidP="0092346A">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0.58</w:t>
            </w:r>
          </w:p>
        </w:tc>
      </w:tr>
      <w:tr w:rsidR="00421CCB" w:rsidRPr="008D0CEB" w14:paraId="16189AC6" w14:textId="77777777" w:rsidTr="00F33275">
        <w:trPr>
          <w:trHeight w:val="360"/>
          <w:jc w:val="center"/>
        </w:trPr>
        <w:tc>
          <w:tcPr>
            <w:tcW w:w="1860" w:type="dxa"/>
            <w:shd w:val="clear" w:color="000000" w:fill="FFFFFF"/>
            <w:noWrap/>
            <w:vAlign w:val="center"/>
            <w:hideMark/>
          </w:tcPr>
          <w:p w14:paraId="01C196B9" w14:textId="77777777" w:rsidR="00421CCB" w:rsidRPr="00F33275" w:rsidRDefault="00421CC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ROE %</w:t>
            </w:r>
          </w:p>
        </w:tc>
        <w:tc>
          <w:tcPr>
            <w:tcW w:w="1286" w:type="dxa"/>
            <w:vAlign w:val="center"/>
          </w:tcPr>
          <w:p w14:paraId="7ABFF565" w14:textId="49499D08"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(11.3%)</w:t>
            </w:r>
          </w:p>
        </w:tc>
        <w:tc>
          <w:tcPr>
            <w:tcW w:w="1287" w:type="dxa"/>
            <w:vAlign w:val="center"/>
          </w:tcPr>
          <w:p w14:paraId="31361AC2" w14:textId="51E4CF8E"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(16.5%)</w:t>
            </w:r>
          </w:p>
        </w:tc>
        <w:tc>
          <w:tcPr>
            <w:tcW w:w="1287" w:type="dxa"/>
            <w:shd w:val="clear" w:color="auto" w:fill="auto"/>
            <w:noWrap/>
            <w:vAlign w:val="center"/>
          </w:tcPr>
          <w:p w14:paraId="03AD40A6" w14:textId="3B928DE6"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21.9%</w:t>
            </w:r>
          </w:p>
        </w:tc>
        <w:tc>
          <w:tcPr>
            <w:tcW w:w="1287" w:type="dxa"/>
            <w:vAlign w:val="center"/>
          </w:tcPr>
          <w:p w14:paraId="4F2A9552" w14:textId="0B522E0C" w:rsidR="00421CCB" w:rsidRPr="00F33275" w:rsidRDefault="000D1396" w:rsidP="00187DA3">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20.2%</w:t>
            </w:r>
          </w:p>
        </w:tc>
        <w:tc>
          <w:tcPr>
            <w:tcW w:w="1287" w:type="dxa"/>
            <w:shd w:val="clear" w:color="auto" w:fill="auto"/>
            <w:noWrap/>
            <w:vAlign w:val="center"/>
            <w:hideMark/>
          </w:tcPr>
          <w:p w14:paraId="2895CE50" w14:textId="1F531534" w:rsidR="00421CCB" w:rsidRPr="00F33275" w:rsidRDefault="0092346A"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3.58</w:t>
            </w:r>
          </w:p>
        </w:tc>
      </w:tr>
      <w:tr w:rsidR="00421CCB" w:rsidRPr="008D0CEB" w14:paraId="6F1CF56C" w14:textId="77777777" w:rsidTr="00F33275">
        <w:trPr>
          <w:trHeight w:val="360"/>
          <w:jc w:val="center"/>
        </w:trPr>
        <w:tc>
          <w:tcPr>
            <w:tcW w:w="1860" w:type="dxa"/>
            <w:shd w:val="clear" w:color="000000" w:fill="FFFFFF"/>
            <w:noWrap/>
            <w:vAlign w:val="center"/>
            <w:hideMark/>
          </w:tcPr>
          <w:p w14:paraId="48F64AE3" w14:textId="77777777" w:rsidR="00421CCB" w:rsidRPr="00F33275" w:rsidRDefault="00421CC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ROA %</w:t>
            </w:r>
          </w:p>
        </w:tc>
        <w:tc>
          <w:tcPr>
            <w:tcW w:w="1286" w:type="dxa"/>
            <w:vAlign w:val="center"/>
          </w:tcPr>
          <w:p w14:paraId="2BA3BFB5" w14:textId="3E8B0508"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(4.5%)</w:t>
            </w:r>
          </w:p>
        </w:tc>
        <w:tc>
          <w:tcPr>
            <w:tcW w:w="1287" w:type="dxa"/>
            <w:vAlign w:val="center"/>
          </w:tcPr>
          <w:p w14:paraId="43FE430B" w14:textId="0ABB01DA"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(6.3%)</w:t>
            </w:r>
          </w:p>
        </w:tc>
        <w:tc>
          <w:tcPr>
            <w:tcW w:w="1287" w:type="dxa"/>
            <w:shd w:val="clear" w:color="auto" w:fill="auto"/>
            <w:noWrap/>
            <w:vAlign w:val="center"/>
          </w:tcPr>
          <w:p w14:paraId="0C5ED0FF" w14:textId="7A80CC8F"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6.9%</w:t>
            </w:r>
          </w:p>
        </w:tc>
        <w:tc>
          <w:tcPr>
            <w:tcW w:w="1287" w:type="dxa"/>
            <w:vAlign w:val="center"/>
          </w:tcPr>
          <w:p w14:paraId="6FFA3C67" w14:textId="77B02572" w:rsidR="00421CCB" w:rsidRPr="00F33275" w:rsidRDefault="000D1396" w:rsidP="00187DA3">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10.7%</w:t>
            </w:r>
          </w:p>
        </w:tc>
        <w:tc>
          <w:tcPr>
            <w:tcW w:w="1287" w:type="dxa"/>
            <w:shd w:val="clear" w:color="auto" w:fill="auto"/>
            <w:noWrap/>
            <w:vAlign w:val="center"/>
            <w:hideMark/>
          </w:tcPr>
          <w:p w14:paraId="2C846B81" w14:textId="51613F6F" w:rsidR="00421CCB" w:rsidRPr="00F33275" w:rsidRDefault="0092346A"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1.70</w:t>
            </w:r>
          </w:p>
        </w:tc>
      </w:tr>
      <w:tr w:rsidR="00421CCB" w:rsidRPr="008D0CEB" w14:paraId="764E1B84" w14:textId="77777777" w:rsidTr="00F33275">
        <w:trPr>
          <w:trHeight w:val="360"/>
          <w:jc w:val="center"/>
        </w:trPr>
        <w:tc>
          <w:tcPr>
            <w:tcW w:w="1860" w:type="dxa"/>
            <w:shd w:val="clear" w:color="000000" w:fill="FFFFFF"/>
            <w:noWrap/>
            <w:vAlign w:val="center"/>
          </w:tcPr>
          <w:p w14:paraId="45002DF7" w14:textId="77777777" w:rsidR="00421CCB" w:rsidRPr="00F33275" w:rsidRDefault="00421CC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Current Assets / Current liabilities</w:t>
            </w:r>
          </w:p>
        </w:tc>
        <w:tc>
          <w:tcPr>
            <w:tcW w:w="1286" w:type="dxa"/>
            <w:vAlign w:val="center"/>
          </w:tcPr>
          <w:p w14:paraId="32F02EC7" w14:textId="04F95C3A"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1.27</w:t>
            </w:r>
          </w:p>
        </w:tc>
        <w:tc>
          <w:tcPr>
            <w:tcW w:w="1287" w:type="dxa"/>
            <w:vAlign w:val="center"/>
          </w:tcPr>
          <w:p w14:paraId="433F5E29" w14:textId="562F1E13"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1.18</w:t>
            </w:r>
          </w:p>
        </w:tc>
        <w:tc>
          <w:tcPr>
            <w:tcW w:w="1287" w:type="dxa"/>
            <w:shd w:val="clear" w:color="auto" w:fill="auto"/>
            <w:noWrap/>
            <w:vAlign w:val="center"/>
          </w:tcPr>
          <w:p w14:paraId="710C2AE0" w14:textId="1898B932"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1.26 </w:t>
            </w:r>
          </w:p>
        </w:tc>
        <w:tc>
          <w:tcPr>
            <w:tcW w:w="1287" w:type="dxa"/>
            <w:vAlign w:val="center"/>
          </w:tcPr>
          <w:p w14:paraId="17A477F2" w14:textId="66328153" w:rsidR="00421CCB" w:rsidRPr="00F33275" w:rsidRDefault="00990AED" w:rsidP="00187DA3">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1.72</w:t>
            </w:r>
          </w:p>
        </w:tc>
        <w:tc>
          <w:tcPr>
            <w:tcW w:w="1287" w:type="dxa"/>
            <w:shd w:val="clear" w:color="auto" w:fill="auto"/>
            <w:noWrap/>
            <w:vAlign w:val="center"/>
          </w:tcPr>
          <w:p w14:paraId="7AD5C75C" w14:textId="0EC8F736" w:rsidR="00421CCB" w:rsidRPr="00F33275" w:rsidRDefault="0092346A"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1.36</w:t>
            </w:r>
          </w:p>
        </w:tc>
      </w:tr>
      <w:tr w:rsidR="00421CCB" w:rsidRPr="008D0CEB" w14:paraId="6F43ACA7" w14:textId="77777777" w:rsidTr="00F33275">
        <w:trPr>
          <w:trHeight w:val="360"/>
          <w:jc w:val="center"/>
        </w:trPr>
        <w:tc>
          <w:tcPr>
            <w:tcW w:w="1860" w:type="dxa"/>
            <w:shd w:val="clear" w:color="000000" w:fill="FFFFFF"/>
            <w:noWrap/>
            <w:vAlign w:val="center"/>
          </w:tcPr>
          <w:p w14:paraId="2D8283FA" w14:textId="77777777" w:rsidR="00421CCB" w:rsidRPr="00F33275" w:rsidRDefault="00421CC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Quick Ratio</w:t>
            </w:r>
          </w:p>
        </w:tc>
        <w:tc>
          <w:tcPr>
            <w:tcW w:w="1286" w:type="dxa"/>
            <w:vAlign w:val="center"/>
          </w:tcPr>
          <w:p w14:paraId="030DCC64" w14:textId="3EC51EB5"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0.49</w:t>
            </w:r>
          </w:p>
        </w:tc>
        <w:tc>
          <w:tcPr>
            <w:tcW w:w="1287" w:type="dxa"/>
            <w:vAlign w:val="center"/>
          </w:tcPr>
          <w:p w14:paraId="4366BF24" w14:textId="3CBA79F0"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0.50</w:t>
            </w:r>
          </w:p>
        </w:tc>
        <w:tc>
          <w:tcPr>
            <w:tcW w:w="1287" w:type="dxa"/>
            <w:shd w:val="clear" w:color="auto" w:fill="auto"/>
            <w:noWrap/>
            <w:vAlign w:val="center"/>
          </w:tcPr>
          <w:p w14:paraId="57BFA55D" w14:textId="09F80CE0"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0.57</w:t>
            </w:r>
          </w:p>
        </w:tc>
        <w:tc>
          <w:tcPr>
            <w:tcW w:w="1287" w:type="dxa"/>
            <w:vAlign w:val="center"/>
          </w:tcPr>
          <w:p w14:paraId="09070FEA" w14:textId="3A9846C3" w:rsidR="00421CCB" w:rsidRPr="00F33275" w:rsidRDefault="00990AED" w:rsidP="00187DA3">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0.69</w:t>
            </w:r>
          </w:p>
        </w:tc>
        <w:tc>
          <w:tcPr>
            <w:tcW w:w="1287" w:type="dxa"/>
            <w:shd w:val="clear" w:color="auto" w:fill="auto"/>
            <w:noWrap/>
            <w:vAlign w:val="center"/>
          </w:tcPr>
          <w:p w14:paraId="6E37D718" w14:textId="4EC0844B"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0.5</w:t>
            </w:r>
            <w:r w:rsidR="0092346A" w:rsidRPr="00F33275">
              <w:rPr>
                <w:rFonts w:asciiTheme="minorHAnsi" w:hAnsiTheme="minorHAnsi" w:cstheme="minorHAnsi"/>
                <w:color w:val="000000" w:themeColor="text1"/>
                <w:sz w:val="18"/>
                <w:szCs w:val="18"/>
                <w:lang w:eastAsia="en-GB"/>
              </w:rPr>
              <w:t>6</w:t>
            </w:r>
          </w:p>
        </w:tc>
      </w:tr>
      <w:tr w:rsidR="00421CCB" w:rsidRPr="008D0CEB" w14:paraId="09CBE87F" w14:textId="77777777" w:rsidTr="00F33275">
        <w:trPr>
          <w:trHeight w:val="360"/>
          <w:jc w:val="center"/>
        </w:trPr>
        <w:tc>
          <w:tcPr>
            <w:tcW w:w="1860" w:type="dxa"/>
            <w:shd w:val="clear" w:color="000000" w:fill="FFFFFF"/>
            <w:noWrap/>
            <w:vAlign w:val="center"/>
          </w:tcPr>
          <w:p w14:paraId="1243631B" w14:textId="77777777" w:rsidR="00421CCB" w:rsidRPr="00F33275" w:rsidRDefault="00421CC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Accounts Receivable Days</w:t>
            </w:r>
          </w:p>
        </w:tc>
        <w:tc>
          <w:tcPr>
            <w:tcW w:w="1286" w:type="dxa"/>
            <w:vAlign w:val="center"/>
          </w:tcPr>
          <w:p w14:paraId="3E3DAD98" w14:textId="7AB6DC9C"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41</w:t>
            </w:r>
          </w:p>
        </w:tc>
        <w:tc>
          <w:tcPr>
            <w:tcW w:w="1287" w:type="dxa"/>
            <w:vAlign w:val="center"/>
          </w:tcPr>
          <w:p w14:paraId="5F396F31" w14:textId="58CF9FB6"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38</w:t>
            </w:r>
          </w:p>
        </w:tc>
        <w:tc>
          <w:tcPr>
            <w:tcW w:w="1287" w:type="dxa"/>
            <w:shd w:val="clear" w:color="auto" w:fill="auto"/>
            <w:noWrap/>
            <w:vAlign w:val="center"/>
          </w:tcPr>
          <w:p w14:paraId="396B95E0" w14:textId="132732C6"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51</w:t>
            </w:r>
          </w:p>
        </w:tc>
        <w:tc>
          <w:tcPr>
            <w:tcW w:w="1287" w:type="dxa"/>
            <w:vAlign w:val="center"/>
          </w:tcPr>
          <w:p w14:paraId="0E63766A" w14:textId="7EDF791C" w:rsidR="00421CCB" w:rsidRPr="00F33275" w:rsidRDefault="00990AED" w:rsidP="00187DA3">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37</w:t>
            </w:r>
          </w:p>
        </w:tc>
        <w:tc>
          <w:tcPr>
            <w:tcW w:w="1287" w:type="dxa"/>
            <w:shd w:val="clear" w:color="auto" w:fill="auto"/>
            <w:noWrap/>
            <w:vAlign w:val="center"/>
          </w:tcPr>
          <w:p w14:paraId="6F617B81" w14:textId="4AA01B7E"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w:t>
            </w:r>
            <w:r w:rsidR="0092346A" w:rsidRPr="00F33275">
              <w:rPr>
                <w:rFonts w:asciiTheme="minorHAnsi" w:hAnsiTheme="minorHAnsi" w:cstheme="minorHAnsi"/>
                <w:color w:val="000000" w:themeColor="text1"/>
                <w:sz w:val="18"/>
                <w:szCs w:val="18"/>
                <w:lang w:eastAsia="en-GB"/>
              </w:rPr>
              <w:t>2</w:t>
            </w:r>
          </w:p>
        </w:tc>
      </w:tr>
      <w:tr w:rsidR="00421CCB" w:rsidRPr="008D0CEB" w14:paraId="5C535244" w14:textId="77777777" w:rsidTr="00F33275">
        <w:trPr>
          <w:trHeight w:val="360"/>
          <w:jc w:val="center"/>
        </w:trPr>
        <w:tc>
          <w:tcPr>
            <w:tcW w:w="1860" w:type="dxa"/>
            <w:shd w:val="clear" w:color="000000" w:fill="FFFFFF"/>
            <w:noWrap/>
            <w:vAlign w:val="center"/>
          </w:tcPr>
          <w:p w14:paraId="6EA30183" w14:textId="77777777" w:rsidR="00421CCB" w:rsidRPr="00F33275" w:rsidRDefault="00421CC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Assets Turnover</w:t>
            </w:r>
          </w:p>
        </w:tc>
        <w:tc>
          <w:tcPr>
            <w:tcW w:w="1286" w:type="dxa"/>
            <w:vAlign w:val="center"/>
          </w:tcPr>
          <w:p w14:paraId="7E7DF353" w14:textId="0DDA7C0C"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2.63</w:t>
            </w:r>
          </w:p>
        </w:tc>
        <w:tc>
          <w:tcPr>
            <w:tcW w:w="1287" w:type="dxa"/>
            <w:vAlign w:val="center"/>
          </w:tcPr>
          <w:p w14:paraId="40ECB75B" w14:textId="0DB951CA"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2.35</w:t>
            </w:r>
          </w:p>
        </w:tc>
        <w:tc>
          <w:tcPr>
            <w:tcW w:w="1287" w:type="dxa"/>
            <w:shd w:val="clear" w:color="auto" w:fill="auto"/>
            <w:noWrap/>
            <w:vAlign w:val="center"/>
          </w:tcPr>
          <w:p w14:paraId="5442EFCE" w14:textId="3A6D4096"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2.81</w:t>
            </w:r>
          </w:p>
        </w:tc>
        <w:tc>
          <w:tcPr>
            <w:tcW w:w="1287" w:type="dxa"/>
            <w:vAlign w:val="center"/>
          </w:tcPr>
          <w:p w14:paraId="77F0D051" w14:textId="5E3611F1" w:rsidR="00421CCB" w:rsidRPr="00F33275" w:rsidRDefault="00990AED" w:rsidP="00187DA3">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2.43</w:t>
            </w:r>
          </w:p>
        </w:tc>
        <w:tc>
          <w:tcPr>
            <w:tcW w:w="1287" w:type="dxa"/>
            <w:shd w:val="clear" w:color="auto" w:fill="auto"/>
            <w:noWrap/>
            <w:vAlign w:val="center"/>
          </w:tcPr>
          <w:p w14:paraId="26F69232" w14:textId="7B4BA057"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w:t>
            </w:r>
            <w:r w:rsidR="0092346A" w:rsidRPr="00F33275">
              <w:rPr>
                <w:rFonts w:asciiTheme="minorHAnsi" w:hAnsiTheme="minorHAnsi" w:cstheme="minorHAnsi"/>
                <w:color w:val="000000" w:themeColor="text1"/>
                <w:sz w:val="18"/>
                <w:szCs w:val="18"/>
                <w:lang w:eastAsia="en-GB"/>
              </w:rPr>
              <w:t>56</w:t>
            </w:r>
          </w:p>
        </w:tc>
      </w:tr>
      <w:tr w:rsidR="00421CCB" w:rsidRPr="008D0CEB" w14:paraId="2F17C9E9" w14:textId="77777777" w:rsidTr="00F33275">
        <w:trPr>
          <w:trHeight w:val="360"/>
          <w:jc w:val="center"/>
        </w:trPr>
        <w:tc>
          <w:tcPr>
            <w:tcW w:w="1860" w:type="dxa"/>
            <w:shd w:val="clear" w:color="000000" w:fill="FFFFFF"/>
            <w:noWrap/>
            <w:vAlign w:val="center"/>
            <w:hideMark/>
          </w:tcPr>
          <w:p w14:paraId="0387ED33" w14:textId="77777777" w:rsidR="00421CCB" w:rsidRPr="00F33275" w:rsidRDefault="00421CC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Debt / Equity Ratio</w:t>
            </w:r>
          </w:p>
        </w:tc>
        <w:tc>
          <w:tcPr>
            <w:tcW w:w="1286" w:type="dxa"/>
            <w:vAlign w:val="center"/>
          </w:tcPr>
          <w:p w14:paraId="10A35F9F" w14:textId="78FB30DE"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0.17</w:t>
            </w:r>
          </w:p>
        </w:tc>
        <w:tc>
          <w:tcPr>
            <w:tcW w:w="1287" w:type="dxa"/>
            <w:vAlign w:val="center"/>
          </w:tcPr>
          <w:p w14:paraId="66982309" w14:textId="11091AEA"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0.14</w:t>
            </w:r>
          </w:p>
        </w:tc>
        <w:tc>
          <w:tcPr>
            <w:tcW w:w="1287" w:type="dxa"/>
            <w:shd w:val="clear" w:color="auto" w:fill="auto"/>
            <w:noWrap/>
            <w:vAlign w:val="center"/>
          </w:tcPr>
          <w:p w14:paraId="75850D06" w14:textId="49AD9485"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0.18</w:t>
            </w:r>
          </w:p>
        </w:tc>
        <w:tc>
          <w:tcPr>
            <w:tcW w:w="1287" w:type="dxa"/>
            <w:vAlign w:val="center"/>
          </w:tcPr>
          <w:p w14:paraId="54B73240" w14:textId="5B5B449C" w:rsidR="00421CCB" w:rsidRPr="00F33275" w:rsidRDefault="00990AED" w:rsidP="00187DA3">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0.10</w:t>
            </w:r>
          </w:p>
        </w:tc>
        <w:tc>
          <w:tcPr>
            <w:tcW w:w="1287" w:type="dxa"/>
            <w:shd w:val="clear" w:color="auto" w:fill="auto"/>
            <w:noWrap/>
            <w:vAlign w:val="center"/>
            <w:hideMark/>
          </w:tcPr>
          <w:p w14:paraId="0C518995" w14:textId="1ACB7379" w:rsidR="00421CCB" w:rsidRPr="00F33275" w:rsidRDefault="00421CC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0.1</w:t>
            </w:r>
            <w:r w:rsidR="0092346A" w:rsidRPr="00F33275">
              <w:rPr>
                <w:rFonts w:asciiTheme="minorHAnsi" w:hAnsiTheme="minorHAnsi" w:cstheme="minorHAnsi"/>
                <w:color w:val="000000" w:themeColor="text1"/>
                <w:sz w:val="18"/>
                <w:szCs w:val="18"/>
                <w:lang w:eastAsia="en-GB"/>
              </w:rPr>
              <w:t>5</w:t>
            </w:r>
          </w:p>
        </w:tc>
      </w:tr>
    </w:tbl>
    <w:p w14:paraId="3EA9ACA3" w14:textId="77777777" w:rsidR="006D3F2B" w:rsidRPr="00D25BE7" w:rsidRDefault="006D3F2B" w:rsidP="006D3F2B">
      <w:pPr>
        <w:rPr>
          <w:rFonts w:asciiTheme="minorHAnsi" w:hAnsiTheme="minorHAnsi"/>
          <w:color w:val="000000" w:themeColor="text1"/>
          <w:lang w:val="en-GB"/>
        </w:rPr>
      </w:pPr>
      <w:r w:rsidRPr="00D25BE7">
        <w:rPr>
          <w:rFonts w:asciiTheme="minorHAnsi" w:hAnsiTheme="minorHAnsi"/>
        </w:rPr>
        <w:t xml:space="preserve"> </w:t>
      </w:r>
    </w:p>
    <w:p w14:paraId="0E50BD83" w14:textId="4F1779CD" w:rsidR="006D3F2B" w:rsidRPr="00D25BE7" w:rsidRDefault="006D3F2B" w:rsidP="006D3F2B">
      <w:pPr>
        <w:pStyle w:val="ListParagraph"/>
        <w:ind w:left="567" w:hanging="567"/>
        <w:rPr>
          <w:rFonts w:asciiTheme="minorHAnsi" w:hAnsiTheme="minorHAnsi"/>
          <w:lang w:val="en-GB"/>
        </w:rPr>
      </w:pPr>
      <w:r w:rsidRPr="00D25BE7">
        <w:rPr>
          <w:rFonts w:asciiTheme="minorHAnsi" w:hAnsiTheme="minorHAnsi"/>
          <w:lang w:val="en-GB"/>
        </w:rPr>
        <w:t>L</w:t>
      </w:r>
      <w:r w:rsidR="00E65A9F" w:rsidRPr="00D25BE7">
        <w:rPr>
          <w:rFonts w:asciiTheme="minorHAnsi" w:hAnsiTheme="minorHAnsi"/>
          <w:lang w:val="en-GB"/>
        </w:rPr>
        <w:t>esotho Flour</w:t>
      </w:r>
      <w:r w:rsidR="000F5A6E" w:rsidRPr="00D25BE7">
        <w:rPr>
          <w:rFonts w:asciiTheme="minorHAnsi" w:hAnsiTheme="minorHAnsi"/>
          <w:lang w:val="en-GB"/>
        </w:rPr>
        <w:t xml:space="preserve"> had an unqualified audit report.</w:t>
      </w:r>
    </w:p>
    <w:p w14:paraId="323F0554" w14:textId="10124B6F" w:rsidR="0077372E" w:rsidRPr="00D25BE7" w:rsidRDefault="00E65A9F" w:rsidP="0077372E">
      <w:pPr>
        <w:pStyle w:val="ListParagraph"/>
        <w:ind w:left="567" w:hanging="567"/>
        <w:rPr>
          <w:rFonts w:asciiTheme="minorHAnsi" w:hAnsiTheme="minorHAnsi"/>
          <w:lang w:val="en-GB"/>
        </w:rPr>
      </w:pPr>
      <w:proofErr w:type="spellStart"/>
      <w:r w:rsidRPr="00F33275">
        <w:rPr>
          <w:rFonts w:asciiTheme="minorHAnsi" w:hAnsiTheme="minorHAnsi"/>
          <w:b/>
          <w:sz w:val="24"/>
          <w:szCs w:val="24"/>
          <w:lang w:val="en-GB"/>
        </w:rPr>
        <w:t>Letseng</w:t>
      </w:r>
      <w:proofErr w:type="spellEnd"/>
      <w:r w:rsidRPr="00F33275">
        <w:rPr>
          <w:rFonts w:asciiTheme="minorHAnsi" w:hAnsiTheme="minorHAnsi"/>
          <w:b/>
          <w:sz w:val="24"/>
          <w:szCs w:val="24"/>
          <w:lang w:val="en-GB"/>
        </w:rPr>
        <w:t xml:space="preserve"> Diamonds Pty </w:t>
      </w:r>
      <w:proofErr w:type="gramStart"/>
      <w:r w:rsidRPr="00F33275">
        <w:rPr>
          <w:rFonts w:asciiTheme="minorHAnsi" w:hAnsiTheme="minorHAnsi"/>
          <w:b/>
          <w:sz w:val="24"/>
          <w:szCs w:val="24"/>
          <w:lang w:val="en-GB"/>
        </w:rPr>
        <w:t>Ltd</w:t>
      </w:r>
      <w:r w:rsidRPr="00D25BE7">
        <w:rPr>
          <w:rFonts w:asciiTheme="minorHAnsi" w:hAnsiTheme="minorHAnsi"/>
          <w:b/>
          <w:u w:val="single"/>
          <w:lang w:val="en-GB"/>
        </w:rPr>
        <w:t xml:space="preserve"> </w:t>
      </w:r>
      <w:r w:rsidR="00BB2BB6">
        <w:rPr>
          <w:rFonts w:asciiTheme="minorHAnsi" w:hAnsiTheme="minorHAnsi"/>
          <w:b/>
          <w:u w:val="single"/>
          <w:lang w:val="en-GB"/>
        </w:rPr>
        <w:t>.</w:t>
      </w:r>
      <w:proofErr w:type="gramEnd"/>
      <w:r w:rsidR="00BB2BB6">
        <w:rPr>
          <w:rFonts w:asciiTheme="minorHAnsi" w:hAnsiTheme="minorHAnsi"/>
          <w:b/>
          <w:u w:val="single"/>
          <w:lang w:val="en-GB"/>
        </w:rPr>
        <w:t xml:space="preserve"> </w:t>
      </w:r>
      <w:proofErr w:type="spellStart"/>
      <w:r w:rsidRPr="00D25BE7">
        <w:rPr>
          <w:rFonts w:asciiTheme="minorHAnsi" w:hAnsiTheme="minorHAnsi"/>
          <w:lang w:val="en-GB"/>
        </w:rPr>
        <w:t>Letseng</w:t>
      </w:r>
      <w:proofErr w:type="spellEnd"/>
      <w:r w:rsidRPr="00D25BE7">
        <w:rPr>
          <w:rFonts w:asciiTheme="minorHAnsi" w:hAnsiTheme="minorHAnsi"/>
          <w:lang w:val="en-GB"/>
        </w:rPr>
        <w:t xml:space="preserve"> is 30% Government owned.  </w:t>
      </w:r>
    </w:p>
    <w:p w14:paraId="1018CB75" w14:textId="43C330BF" w:rsidR="00E65A9F" w:rsidRPr="005D564C" w:rsidRDefault="00114482" w:rsidP="00114482">
      <w:pPr>
        <w:rPr>
          <w:rFonts w:asciiTheme="minorHAnsi" w:hAnsiTheme="minorHAnsi"/>
          <w:b/>
          <w:sz w:val="20"/>
          <w:lang w:val="en-GB"/>
        </w:rPr>
      </w:pPr>
      <w:r w:rsidRPr="005D564C">
        <w:rPr>
          <w:rFonts w:asciiTheme="minorHAnsi" w:hAnsiTheme="minorHAnsi"/>
          <w:b/>
          <w:sz w:val="20"/>
          <w:lang w:val="en-GB"/>
        </w:rPr>
        <w:t xml:space="preserve">     </w:t>
      </w:r>
      <w:r w:rsidR="00E65A9F" w:rsidRPr="00034EC7">
        <w:rPr>
          <w:rFonts w:asciiTheme="minorHAnsi" w:hAnsiTheme="minorHAnsi"/>
          <w:b/>
          <w:sz w:val="20"/>
          <w:lang w:val="en-GB"/>
        </w:rPr>
        <w:t xml:space="preserve">Figure </w:t>
      </w:r>
      <w:r w:rsidR="00BB2BB6" w:rsidRPr="00034EC7">
        <w:rPr>
          <w:rFonts w:asciiTheme="minorHAnsi" w:hAnsiTheme="minorHAnsi"/>
          <w:b/>
          <w:sz w:val="20"/>
          <w:lang w:val="en-GB"/>
        </w:rPr>
        <w:t>24:</w:t>
      </w:r>
      <w:r w:rsidR="00BB2BB6">
        <w:rPr>
          <w:rFonts w:asciiTheme="minorHAnsi" w:hAnsiTheme="minorHAnsi"/>
          <w:b/>
          <w:sz w:val="20"/>
          <w:lang w:val="en-GB"/>
        </w:rPr>
        <w:t xml:space="preserve"> </w:t>
      </w:r>
      <w:proofErr w:type="spellStart"/>
      <w:r w:rsidR="00BB2BB6">
        <w:rPr>
          <w:rFonts w:asciiTheme="minorHAnsi" w:hAnsiTheme="minorHAnsi"/>
          <w:b/>
          <w:sz w:val="20"/>
          <w:lang w:val="en-GB"/>
        </w:rPr>
        <w:t>Letseng</w:t>
      </w:r>
      <w:proofErr w:type="spellEnd"/>
      <w:r w:rsidR="00BB2BB6">
        <w:rPr>
          <w:rFonts w:asciiTheme="minorHAnsi" w:hAnsiTheme="minorHAnsi"/>
          <w:b/>
          <w:sz w:val="20"/>
          <w:lang w:val="en-GB"/>
        </w:rPr>
        <w:t xml:space="preserve"> Returns 2014/15 to 2017/18</w:t>
      </w:r>
    </w:p>
    <w:p w14:paraId="5A17EBE7" w14:textId="486C0975" w:rsidR="00E65A9F" w:rsidRDefault="0031126F" w:rsidP="00AC419F">
      <w:pPr>
        <w:ind w:left="426"/>
        <w:rPr>
          <w:rFonts w:asciiTheme="minorHAnsi" w:hAnsiTheme="minorHAnsi"/>
          <w:color w:val="000000" w:themeColor="text1"/>
          <w:szCs w:val="22"/>
          <w:lang w:val="en-GB"/>
        </w:rPr>
      </w:pPr>
      <w:r w:rsidRPr="00D25BE7">
        <w:rPr>
          <w:rFonts w:asciiTheme="minorHAnsi" w:hAnsiTheme="minorHAnsi"/>
          <w:color w:val="000000" w:themeColor="text1"/>
          <w:szCs w:val="22"/>
          <w:lang w:val="en-GB"/>
        </w:rPr>
        <w:t xml:space="preserve"> </w:t>
      </w:r>
    </w:p>
    <w:p w14:paraId="6278FBCA" w14:textId="77777777" w:rsidR="00FE6DF3" w:rsidRDefault="00FE6DF3" w:rsidP="00AC419F">
      <w:pPr>
        <w:ind w:left="426"/>
        <w:rPr>
          <w:rFonts w:asciiTheme="minorHAnsi" w:hAnsiTheme="minorHAnsi"/>
          <w:color w:val="000000" w:themeColor="text1"/>
          <w:szCs w:val="22"/>
          <w:lang w:val="en-GB"/>
        </w:rPr>
      </w:pPr>
    </w:p>
    <w:p w14:paraId="56605364" w14:textId="45018F3E" w:rsidR="00FE6DF3" w:rsidRPr="00D25BE7" w:rsidRDefault="00A9082A" w:rsidP="00AC419F">
      <w:pPr>
        <w:ind w:left="426"/>
        <w:rPr>
          <w:rFonts w:asciiTheme="minorHAnsi" w:hAnsiTheme="minorHAnsi"/>
          <w:color w:val="000000" w:themeColor="text1"/>
          <w:szCs w:val="22"/>
          <w:lang w:val="en-GB"/>
        </w:rPr>
      </w:pPr>
      <w:r>
        <w:rPr>
          <w:noProof/>
        </w:rPr>
        <w:lastRenderedPageBreak/>
        <w:drawing>
          <wp:inline distT="0" distB="0" distL="0" distR="0" wp14:anchorId="67E111E4" wp14:editId="49062BAF">
            <wp:extent cx="4502785" cy="2827020"/>
            <wp:effectExtent l="25400" t="25400" r="94615" b="939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06D1170A" w14:textId="01FA7391" w:rsidR="00AC419F" w:rsidRPr="00F33275" w:rsidRDefault="000D56D4" w:rsidP="00AC419F">
      <w:pPr>
        <w:ind w:left="426"/>
        <w:rPr>
          <w:rFonts w:asciiTheme="minorHAnsi" w:hAnsiTheme="minorHAnsi"/>
          <w:i/>
          <w:color w:val="000000" w:themeColor="text1"/>
          <w:sz w:val="18"/>
          <w:szCs w:val="18"/>
          <w:lang w:val="en-GB"/>
        </w:rPr>
      </w:pPr>
      <w:r w:rsidRPr="00F33275">
        <w:rPr>
          <w:rFonts w:asciiTheme="minorHAnsi" w:hAnsiTheme="minorHAnsi"/>
          <w:i/>
          <w:color w:val="000000" w:themeColor="text1"/>
          <w:sz w:val="18"/>
          <w:szCs w:val="18"/>
          <w:lang w:val="en-GB"/>
        </w:rPr>
        <w:t xml:space="preserve">Source: </w:t>
      </w:r>
      <w:proofErr w:type="spellStart"/>
      <w:r w:rsidRPr="00F33275">
        <w:rPr>
          <w:rFonts w:asciiTheme="minorHAnsi" w:hAnsiTheme="minorHAnsi"/>
          <w:i/>
          <w:color w:val="000000" w:themeColor="text1"/>
          <w:sz w:val="18"/>
          <w:szCs w:val="18"/>
          <w:lang w:val="en-GB"/>
        </w:rPr>
        <w:t>Letseng</w:t>
      </w:r>
      <w:proofErr w:type="spellEnd"/>
      <w:r w:rsidRPr="00F33275">
        <w:rPr>
          <w:rFonts w:asciiTheme="minorHAnsi" w:hAnsiTheme="minorHAnsi"/>
          <w:i/>
          <w:color w:val="000000" w:themeColor="text1"/>
          <w:sz w:val="18"/>
          <w:szCs w:val="18"/>
          <w:lang w:val="en-GB"/>
        </w:rPr>
        <w:t xml:space="preserve"> Diamonds AFS Various Years</w:t>
      </w:r>
    </w:p>
    <w:p w14:paraId="6CE8CEB8" w14:textId="77777777" w:rsidR="00AC419F" w:rsidRPr="00D25BE7" w:rsidRDefault="00AC419F" w:rsidP="00AC419F">
      <w:pPr>
        <w:ind w:left="426"/>
        <w:rPr>
          <w:rFonts w:asciiTheme="minorHAnsi" w:hAnsiTheme="minorHAnsi"/>
          <w:color w:val="000000" w:themeColor="text1"/>
          <w:szCs w:val="22"/>
          <w:lang w:val="en-GB"/>
        </w:rPr>
      </w:pPr>
    </w:p>
    <w:p w14:paraId="539D45B0" w14:textId="3D6027C5" w:rsidR="00AC419F" w:rsidRPr="00D25BE7" w:rsidRDefault="00AC419F" w:rsidP="00AC419F">
      <w:pPr>
        <w:pStyle w:val="ListParagraph"/>
        <w:spacing w:after="120"/>
        <w:ind w:left="567" w:hanging="567"/>
        <w:rPr>
          <w:rFonts w:asciiTheme="minorHAnsi" w:hAnsiTheme="minorHAnsi"/>
          <w:lang w:val="en-GB"/>
        </w:rPr>
      </w:pPr>
      <w:proofErr w:type="spellStart"/>
      <w:r w:rsidRPr="00D25BE7">
        <w:rPr>
          <w:rFonts w:asciiTheme="minorHAnsi" w:hAnsiTheme="minorHAnsi"/>
          <w:lang w:val="en-GB"/>
        </w:rPr>
        <w:t>Letseng</w:t>
      </w:r>
      <w:proofErr w:type="spellEnd"/>
      <w:r w:rsidRPr="00D25BE7">
        <w:rPr>
          <w:rFonts w:asciiTheme="minorHAnsi" w:hAnsiTheme="minorHAnsi"/>
          <w:lang w:val="en-GB"/>
        </w:rPr>
        <w:t xml:space="preserve"> Diamonds performance has been strong in </w:t>
      </w:r>
      <w:r w:rsidR="000D56D4">
        <w:rPr>
          <w:rFonts w:asciiTheme="minorHAnsi" w:hAnsiTheme="minorHAnsi"/>
          <w:lang w:val="en-GB"/>
        </w:rPr>
        <w:t>earlier</w:t>
      </w:r>
      <w:r w:rsidR="000D56D4" w:rsidRPr="00D25BE7">
        <w:rPr>
          <w:rFonts w:asciiTheme="minorHAnsi" w:hAnsiTheme="minorHAnsi"/>
          <w:lang w:val="en-GB"/>
        </w:rPr>
        <w:t xml:space="preserve"> </w:t>
      </w:r>
      <w:r w:rsidRPr="00D25BE7">
        <w:rPr>
          <w:rFonts w:asciiTheme="minorHAnsi" w:hAnsiTheme="minorHAnsi"/>
          <w:lang w:val="en-GB"/>
        </w:rPr>
        <w:t xml:space="preserve">years and </w:t>
      </w:r>
      <w:r w:rsidR="00FE43E5">
        <w:rPr>
          <w:rFonts w:asciiTheme="minorHAnsi" w:hAnsiTheme="minorHAnsi"/>
          <w:lang w:val="en-GB"/>
        </w:rPr>
        <w:t>had been</w:t>
      </w:r>
      <w:r w:rsidRPr="00D25BE7">
        <w:rPr>
          <w:rFonts w:asciiTheme="minorHAnsi" w:hAnsiTheme="minorHAnsi"/>
          <w:lang w:val="en-GB"/>
        </w:rPr>
        <w:t xml:space="preserve"> the portfolio stand-out performer</w:t>
      </w:r>
      <w:r w:rsidR="00FE43E5">
        <w:rPr>
          <w:rFonts w:asciiTheme="minorHAnsi" w:hAnsiTheme="minorHAnsi"/>
          <w:lang w:val="en-GB"/>
        </w:rPr>
        <w:t xml:space="preserve"> particularly in relations to providing dividends</w:t>
      </w:r>
      <w:r w:rsidR="003B5792" w:rsidRPr="00D25BE7">
        <w:rPr>
          <w:rFonts w:asciiTheme="minorHAnsi" w:hAnsiTheme="minorHAnsi"/>
          <w:lang w:val="en-GB"/>
        </w:rPr>
        <w:t xml:space="preserve">. </w:t>
      </w:r>
      <w:r w:rsidR="00FE43E5">
        <w:rPr>
          <w:rFonts w:asciiTheme="minorHAnsi" w:hAnsiTheme="minorHAnsi"/>
          <w:lang w:val="en-GB"/>
        </w:rPr>
        <w:t>However,</w:t>
      </w:r>
      <w:r w:rsidR="00D00D46">
        <w:rPr>
          <w:rFonts w:asciiTheme="minorHAnsi" w:hAnsiTheme="minorHAnsi"/>
          <w:lang w:val="en-GB"/>
        </w:rPr>
        <w:t xml:space="preserve"> despite the company being the largest in the country in terms of revenue</w:t>
      </w:r>
      <w:r w:rsidR="00E70B72">
        <w:rPr>
          <w:rFonts w:asciiTheme="minorHAnsi" w:hAnsiTheme="minorHAnsi"/>
          <w:lang w:val="en-GB"/>
        </w:rPr>
        <w:t>,</w:t>
      </w:r>
      <w:r w:rsidR="00D00D46">
        <w:rPr>
          <w:rFonts w:asciiTheme="minorHAnsi" w:hAnsiTheme="minorHAnsi"/>
          <w:lang w:val="en-GB"/>
        </w:rPr>
        <w:t xml:space="preserve"> </w:t>
      </w:r>
      <w:r w:rsidR="00FE43E5">
        <w:rPr>
          <w:rFonts w:asciiTheme="minorHAnsi" w:hAnsiTheme="minorHAnsi"/>
          <w:lang w:val="en-GB"/>
        </w:rPr>
        <w:t xml:space="preserve">we can see </w:t>
      </w:r>
      <w:r w:rsidR="00D00D46">
        <w:rPr>
          <w:rFonts w:asciiTheme="minorHAnsi" w:hAnsiTheme="minorHAnsi"/>
          <w:lang w:val="en-GB"/>
        </w:rPr>
        <w:t>all key indicators</w:t>
      </w:r>
      <w:r w:rsidR="006E69A1">
        <w:rPr>
          <w:rFonts w:asciiTheme="minorHAnsi" w:hAnsiTheme="minorHAnsi"/>
          <w:lang w:val="en-GB"/>
        </w:rPr>
        <w:t>,</w:t>
      </w:r>
      <w:r w:rsidR="00D00D46">
        <w:rPr>
          <w:rFonts w:asciiTheme="minorHAnsi" w:hAnsiTheme="minorHAnsi"/>
          <w:lang w:val="en-GB"/>
        </w:rPr>
        <w:t xml:space="preserve"> excepting EBITDA</w:t>
      </w:r>
      <w:r w:rsidR="006E69A1">
        <w:rPr>
          <w:rFonts w:asciiTheme="minorHAnsi" w:hAnsiTheme="minorHAnsi"/>
          <w:lang w:val="en-GB"/>
        </w:rPr>
        <w:t>,</w:t>
      </w:r>
      <w:r w:rsidR="00D00D46">
        <w:rPr>
          <w:rFonts w:asciiTheme="minorHAnsi" w:hAnsiTheme="minorHAnsi"/>
          <w:lang w:val="en-GB"/>
        </w:rPr>
        <w:t xml:space="preserve"> have declined dramatically</w:t>
      </w:r>
      <w:r w:rsidR="00E70B72">
        <w:rPr>
          <w:rFonts w:asciiTheme="minorHAnsi" w:hAnsiTheme="minorHAnsi"/>
          <w:lang w:val="en-GB"/>
        </w:rPr>
        <w:t xml:space="preserve"> since 2015/16.</w:t>
      </w:r>
    </w:p>
    <w:p w14:paraId="4B45E634" w14:textId="77777777" w:rsidR="00AC419F" w:rsidRPr="00D25BE7" w:rsidRDefault="00AC419F" w:rsidP="003B5792">
      <w:pPr>
        <w:ind w:left="1434" w:hanging="357"/>
        <w:rPr>
          <w:rFonts w:asciiTheme="minorHAnsi" w:hAnsiTheme="minorHAnsi"/>
          <w:color w:val="000000" w:themeColor="text1"/>
          <w:lang w:val="en-GB"/>
        </w:rPr>
      </w:pPr>
    </w:p>
    <w:p w14:paraId="62C1ED3C" w14:textId="3231E914" w:rsidR="00E65A9F" w:rsidRPr="00D25BE7" w:rsidRDefault="00E65A9F" w:rsidP="00E65A9F">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Relevant performance data for FY’1</w:t>
      </w:r>
      <w:r w:rsidR="00C63DB1">
        <w:rPr>
          <w:rFonts w:asciiTheme="minorHAnsi" w:hAnsiTheme="minorHAnsi"/>
          <w:color w:val="000000" w:themeColor="text1"/>
          <w:lang w:val="en-GB"/>
        </w:rPr>
        <w:t>8</w:t>
      </w:r>
      <w:r w:rsidRPr="00D25BE7">
        <w:rPr>
          <w:rFonts w:asciiTheme="minorHAnsi" w:hAnsiTheme="minorHAnsi"/>
          <w:color w:val="000000" w:themeColor="text1"/>
          <w:lang w:val="en-GB"/>
        </w:rPr>
        <w:t xml:space="preserve"> is:</w:t>
      </w:r>
    </w:p>
    <w:p w14:paraId="44B6FB5A" w14:textId="3FC76800" w:rsidR="00E65A9F" w:rsidRPr="00713392" w:rsidRDefault="00E65A9F" w:rsidP="00E65A9F">
      <w:pPr>
        <w:rPr>
          <w:rFonts w:asciiTheme="minorHAnsi" w:hAnsiTheme="minorHAnsi"/>
          <w:b/>
          <w:sz w:val="20"/>
          <w:lang w:val="en-GB"/>
        </w:rPr>
      </w:pPr>
      <w:r w:rsidRPr="00713392">
        <w:rPr>
          <w:rFonts w:asciiTheme="minorHAnsi" w:hAnsiTheme="minorHAnsi"/>
          <w:b/>
          <w:sz w:val="20"/>
          <w:lang w:val="en-GB"/>
        </w:rPr>
        <w:t xml:space="preserve">Table </w:t>
      </w:r>
      <w:r w:rsidR="003D1271" w:rsidRPr="00713392">
        <w:rPr>
          <w:rFonts w:asciiTheme="minorHAnsi" w:hAnsiTheme="minorHAnsi"/>
          <w:b/>
          <w:sz w:val="20"/>
          <w:lang w:val="en-GB"/>
        </w:rPr>
        <w:t>2</w:t>
      </w:r>
      <w:r w:rsidR="00C63DB1">
        <w:rPr>
          <w:rFonts w:asciiTheme="minorHAnsi" w:hAnsiTheme="minorHAnsi"/>
          <w:b/>
          <w:sz w:val="20"/>
          <w:lang w:val="en-GB"/>
        </w:rPr>
        <w:t>3</w:t>
      </w:r>
      <w:r w:rsidRPr="00713392">
        <w:rPr>
          <w:rFonts w:asciiTheme="minorHAnsi" w:hAnsiTheme="minorHAnsi"/>
          <w:b/>
          <w:sz w:val="20"/>
          <w:lang w:val="en-GB"/>
        </w:rPr>
        <w:t xml:space="preserve">: Performance Highlights – </w:t>
      </w:r>
      <w:proofErr w:type="spellStart"/>
      <w:r w:rsidRPr="00713392">
        <w:rPr>
          <w:rFonts w:asciiTheme="minorHAnsi" w:hAnsiTheme="minorHAnsi"/>
          <w:b/>
          <w:sz w:val="20"/>
          <w:lang w:val="en-GB"/>
        </w:rPr>
        <w:t>L</w:t>
      </w:r>
      <w:r w:rsidR="008E4680" w:rsidRPr="00713392">
        <w:rPr>
          <w:rFonts w:asciiTheme="minorHAnsi" w:hAnsiTheme="minorHAnsi"/>
          <w:b/>
          <w:sz w:val="20"/>
          <w:lang w:val="en-GB"/>
        </w:rPr>
        <w:t>etseng</w:t>
      </w:r>
      <w:proofErr w:type="spellEnd"/>
    </w:p>
    <w:p w14:paraId="5036E744" w14:textId="77777777" w:rsidR="00C63DB1" w:rsidRPr="00D25BE7" w:rsidRDefault="00C63DB1" w:rsidP="00E65A9F">
      <w:pPr>
        <w:rPr>
          <w:rFonts w:asciiTheme="minorHAnsi" w:hAnsiTheme="minorHAnsi"/>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1286"/>
        <w:gridCol w:w="1287"/>
        <w:gridCol w:w="1287"/>
        <w:gridCol w:w="1287"/>
        <w:gridCol w:w="1287"/>
      </w:tblGrid>
      <w:tr w:rsidR="008B17ED" w:rsidRPr="00305342" w14:paraId="2E810DFE" w14:textId="77777777" w:rsidTr="00F33275">
        <w:trPr>
          <w:trHeight w:val="360"/>
          <w:tblHeader/>
          <w:jc w:val="center"/>
        </w:trPr>
        <w:tc>
          <w:tcPr>
            <w:tcW w:w="1839" w:type="dxa"/>
            <w:shd w:val="clear" w:color="auto" w:fill="D9D9D9" w:themeFill="background1" w:themeFillShade="D9"/>
            <w:noWrap/>
            <w:vAlign w:val="center"/>
            <w:hideMark/>
          </w:tcPr>
          <w:p w14:paraId="3AD57C65" w14:textId="77777777" w:rsidR="008B17ED" w:rsidRPr="00F33275" w:rsidRDefault="008B17ED" w:rsidP="005A1DD4">
            <w:pPr>
              <w:ind w:firstLine="42"/>
              <w:rPr>
                <w:rFonts w:asciiTheme="minorHAnsi" w:hAnsiTheme="minorHAnsi"/>
                <w:sz w:val="18"/>
                <w:szCs w:val="18"/>
                <w:lang w:eastAsia="en-GB"/>
              </w:rPr>
            </w:pPr>
            <w:r w:rsidRPr="00F33275">
              <w:rPr>
                <w:rFonts w:asciiTheme="minorHAnsi" w:hAnsiTheme="minorHAnsi"/>
                <w:sz w:val="18"/>
                <w:szCs w:val="18"/>
                <w:lang w:eastAsia="en-GB"/>
              </w:rPr>
              <w:t>Performance Highlights (M '000)</w:t>
            </w:r>
          </w:p>
        </w:tc>
        <w:tc>
          <w:tcPr>
            <w:tcW w:w="1286" w:type="dxa"/>
            <w:shd w:val="clear" w:color="auto" w:fill="D9D9D9" w:themeFill="background1" w:themeFillShade="D9"/>
            <w:vAlign w:val="center"/>
          </w:tcPr>
          <w:p w14:paraId="2B11FA39" w14:textId="77777777" w:rsidR="008B17ED" w:rsidRPr="00F33275" w:rsidRDefault="008B17ED" w:rsidP="005A1DD4">
            <w:pPr>
              <w:jc w:val="center"/>
              <w:rPr>
                <w:rFonts w:asciiTheme="minorHAnsi" w:hAnsiTheme="minorHAnsi" w:cstheme="minorHAnsi"/>
                <w:b/>
                <w:bCs/>
                <w:color w:val="000000"/>
                <w:sz w:val="18"/>
                <w:szCs w:val="18"/>
                <w:lang w:eastAsia="en-GB"/>
              </w:rPr>
            </w:pPr>
            <w:r w:rsidRPr="00F33275">
              <w:rPr>
                <w:rFonts w:asciiTheme="minorHAnsi" w:hAnsiTheme="minorHAnsi" w:cstheme="minorHAnsi"/>
                <w:b/>
                <w:bCs/>
                <w:sz w:val="18"/>
                <w:szCs w:val="18"/>
                <w:lang w:eastAsia="en-GB"/>
              </w:rPr>
              <w:t>2014/15</w:t>
            </w:r>
          </w:p>
        </w:tc>
        <w:tc>
          <w:tcPr>
            <w:tcW w:w="1287" w:type="dxa"/>
            <w:shd w:val="clear" w:color="auto" w:fill="D9D9D9" w:themeFill="background1" w:themeFillShade="D9"/>
            <w:vAlign w:val="center"/>
          </w:tcPr>
          <w:p w14:paraId="6BB913C7" w14:textId="77777777" w:rsidR="008B17ED" w:rsidRPr="00F33275" w:rsidRDefault="008B17ED" w:rsidP="005A1DD4">
            <w:pPr>
              <w:jc w:val="center"/>
              <w:rPr>
                <w:rFonts w:asciiTheme="minorHAnsi" w:hAnsiTheme="minorHAnsi" w:cstheme="minorHAnsi"/>
                <w:b/>
                <w:bCs/>
                <w:color w:val="000000"/>
                <w:sz w:val="18"/>
                <w:szCs w:val="18"/>
                <w:lang w:eastAsia="en-GB"/>
              </w:rPr>
            </w:pPr>
            <w:r w:rsidRPr="00F33275">
              <w:rPr>
                <w:rFonts w:asciiTheme="minorHAnsi" w:hAnsiTheme="minorHAnsi" w:cstheme="minorHAnsi"/>
                <w:b/>
                <w:bCs/>
                <w:sz w:val="18"/>
                <w:szCs w:val="18"/>
                <w:lang w:eastAsia="en-GB"/>
              </w:rPr>
              <w:t>2015/16</w:t>
            </w:r>
          </w:p>
        </w:tc>
        <w:tc>
          <w:tcPr>
            <w:tcW w:w="1287" w:type="dxa"/>
            <w:shd w:val="clear" w:color="auto" w:fill="D9D9D9" w:themeFill="background1" w:themeFillShade="D9"/>
            <w:vAlign w:val="center"/>
            <w:hideMark/>
          </w:tcPr>
          <w:p w14:paraId="3638A68A" w14:textId="77777777" w:rsidR="008B17ED" w:rsidRPr="00F33275" w:rsidRDefault="008B17ED" w:rsidP="005A1DD4">
            <w:pPr>
              <w:jc w:val="center"/>
              <w:rPr>
                <w:rFonts w:asciiTheme="minorHAnsi" w:hAnsiTheme="minorHAnsi" w:cstheme="minorHAnsi"/>
                <w:b/>
                <w:bCs/>
                <w:sz w:val="18"/>
                <w:szCs w:val="18"/>
                <w:lang w:eastAsia="en-GB"/>
              </w:rPr>
            </w:pPr>
            <w:r w:rsidRPr="00F33275">
              <w:rPr>
                <w:rFonts w:asciiTheme="minorHAnsi" w:hAnsiTheme="minorHAnsi" w:cstheme="minorHAnsi"/>
                <w:b/>
                <w:bCs/>
                <w:sz w:val="18"/>
                <w:szCs w:val="18"/>
                <w:lang w:eastAsia="en-GB"/>
              </w:rPr>
              <w:t>2016/17</w:t>
            </w:r>
          </w:p>
        </w:tc>
        <w:tc>
          <w:tcPr>
            <w:tcW w:w="1287" w:type="dxa"/>
            <w:shd w:val="clear" w:color="auto" w:fill="D9D9D9" w:themeFill="background1" w:themeFillShade="D9"/>
            <w:vAlign w:val="center"/>
          </w:tcPr>
          <w:p w14:paraId="6BD527E3" w14:textId="5830D894" w:rsidR="008B17ED" w:rsidRPr="00F33275" w:rsidRDefault="008B17ED" w:rsidP="005A1DD4">
            <w:pPr>
              <w:jc w:val="center"/>
              <w:rPr>
                <w:rFonts w:asciiTheme="minorHAnsi" w:hAnsiTheme="minorHAnsi" w:cstheme="minorHAnsi"/>
                <w:b/>
                <w:bCs/>
                <w:color w:val="000000"/>
                <w:sz w:val="18"/>
                <w:szCs w:val="18"/>
                <w:lang w:eastAsia="en-GB"/>
              </w:rPr>
            </w:pPr>
            <w:r w:rsidRPr="00F33275">
              <w:rPr>
                <w:rFonts w:asciiTheme="minorHAnsi" w:hAnsiTheme="minorHAnsi" w:cstheme="minorHAnsi"/>
                <w:b/>
                <w:bCs/>
                <w:sz w:val="18"/>
                <w:szCs w:val="18"/>
                <w:lang w:eastAsia="en-GB"/>
              </w:rPr>
              <w:t>2017/18</w:t>
            </w:r>
          </w:p>
        </w:tc>
        <w:tc>
          <w:tcPr>
            <w:tcW w:w="1287" w:type="dxa"/>
            <w:shd w:val="clear" w:color="auto" w:fill="D9D9D9" w:themeFill="background1" w:themeFillShade="D9"/>
            <w:noWrap/>
            <w:vAlign w:val="center"/>
            <w:hideMark/>
          </w:tcPr>
          <w:p w14:paraId="3659CFAE" w14:textId="59BDEF98" w:rsidR="008B17ED" w:rsidRPr="00F33275" w:rsidRDefault="008B17ED" w:rsidP="005A1DD4">
            <w:pPr>
              <w:jc w:val="center"/>
              <w:rPr>
                <w:rFonts w:asciiTheme="minorHAnsi" w:hAnsiTheme="minorHAnsi" w:cstheme="minorHAnsi"/>
                <w:b/>
                <w:bCs/>
                <w:color w:val="000000"/>
                <w:sz w:val="18"/>
                <w:szCs w:val="18"/>
                <w:lang w:eastAsia="en-GB"/>
              </w:rPr>
            </w:pPr>
            <w:r w:rsidRPr="00F33275">
              <w:rPr>
                <w:rFonts w:asciiTheme="minorHAnsi" w:hAnsiTheme="minorHAnsi" w:cstheme="minorHAnsi"/>
                <w:b/>
                <w:bCs/>
                <w:color w:val="000000"/>
                <w:sz w:val="18"/>
                <w:szCs w:val="18"/>
                <w:lang w:eastAsia="en-GB"/>
              </w:rPr>
              <w:t>4-yr Average</w:t>
            </w:r>
          </w:p>
        </w:tc>
      </w:tr>
      <w:tr w:rsidR="008B17ED" w:rsidRPr="00305342" w14:paraId="44B1D44A" w14:textId="77777777" w:rsidTr="00F33275">
        <w:trPr>
          <w:trHeight w:val="360"/>
          <w:jc w:val="center"/>
        </w:trPr>
        <w:tc>
          <w:tcPr>
            <w:tcW w:w="1839" w:type="dxa"/>
            <w:shd w:val="clear" w:color="000000" w:fill="FFFFFF"/>
            <w:noWrap/>
            <w:vAlign w:val="center"/>
            <w:hideMark/>
          </w:tcPr>
          <w:p w14:paraId="2802A390" w14:textId="77777777" w:rsidR="008B17ED" w:rsidRPr="00F33275" w:rsidRDefault="008B17ED"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Total Revenue</w:t>
            </w:r>
          </w:p>
        </w:tc>
        <w:tc>
          <w:tcPr>
            <w:tcW w:w="1286" w:type="dxa"/>
            <w:vAlign w:val="center"/>
          </w:tcPr>
          <w:p w14:paraId="0849A06F" w14:textId="1E18ECF5"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3,075,278</w:t>
            </w:r>
          </w:p>
        </w:tc>
        <w:tc>
          <w:tcPr>
            <w:tcW w:w="1287" w:type="dxa"/>
            <w:vAlign w:val="center"/>
          </w:tcPr>
          <w:p w14:paraId="0B9C82FE" w14:textId="2AB817A0"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3,157,091</w:t>
            </w:r>
          </w:p>
        </w:tc>
        <w:tc>
          <w:tcPr>
            <w:tcW w:w="1287" w:type="dxa"/>
            <w:shd w:val="clear" w:color="auto" w:fill="auto"/>
            <w:noWrap/>
            <w:vAlign w:val="center"/>
            <w:hideMark/>
          </w:tcPr>
          <w:p w14:paraId="0E59F463" w14:textId="5C93D108"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2,753,132</w:t>
            </w:r>
          </w:p>
        </w:tc>
        <w:tc>
          <w:tcPr>
            <w:tcW w:w="1287" w:type="dxa"/>
            <w:vAlign w:val="center"/>
          </w:tcPr>
          <w:p w14:paraId="16080FBC" w14:textId="5BD681DB" w:rsidR="008B17ED" w:rsidRPr="00F33275" w:rsidRDefault="00793F5C" w:rsidP="00793F5C">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2,716,880</w:t>
            </w:r>
          </w:p>
        </w:tc>
        <w:tc>
          <w:tcPr>
            <w:tcW w:w="1287" w:type="dxa"/>
            <w:shd w:val="clear" w:color="auto" w:fill="auto"/>
            <w:noWrap/>
            <w:vAlign w:val="center"/>
            <w:hideMark/>
          </w:tcPr>
          <w:p w14:paraId="2C013097" w14:textId="03B1DD0F" w:rsidR="008B17ED" w:rsidRPr="00F33275" w:rsidRDefault="008B17ED" w:rsidP="00A80B9F">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2,9</w:t>
            </w:r>
            <w:r w:rsidR="00A80B9F" w:rsidRPr="00F33275">
              <w:rPr>
                <w:rFonts w:asciiTheme="minorHAnsi" w:hAnsiTheme="minorHAnsi" w:cstheme="minorHAnsi"/>
                <w:color w:val="000000" w:themeColor="text1"/>
                <w:sz w:val="18"/>
                <w:szCs w:val="18"/>
                <w:lang w:eastAsia="en-GB"/>
              </w:rPr>
              <w:t>2</w:t>
            </w:r>
            <w:r w:rsidRPr="00F33275">
              <w:rPr>
                <w:rFonts w:asciiTheme="minorHAnsi" w:hAnsiTheme="minorHAnsi" w:cstheme="minorHAnsi"/>
                <w:color w:val="000000" w:themeColor="text1"/>
                <w:sz w:val="18"/>
                <w:szCs w:val="18"/>
                <w:lang w:eastAsia="en-GB"/>
              </w:rPr>
              <w:t>5,</w:t>
            </w:r>
            <w:r w:rsidR="00A80B9F" w:rsidRPr="00F33275">
              <w:rPr>
                <w:rFonts w:asciiTheme="minorHAnsi" w:hAnsiTheme="minorHAnsi" w:cstheme="minorHAnsi"/>
                <w:color w:val="000000" w:themeColor="text1"/>
                <w:sz w:val="18"/>
                <w:szCs w:val="18"/>
                <w:lang w:eastAsia="en-GB"/>
              </w:rPr>
              <w:t>595</w:t>
            </w:r>
          </w:p>
        </w:tc>
      </w:tr>
      <w:tr w:rsidR="008B17ED" w:rsidRPr="00305342" w14:paraId="7BB9C5EC" w14:textId="77777777" w:rsidTr="00F33275">
        <w:trPr>
          <w:trHeight w:val="360"/>
          <w:jc w:val="center"/>
        </w:trPr>
        <w:tc>
          <w:tcPr>
            <w:tcW w:w="1839" w:type="dxa"/>
            <w:shd w:val="clear" w:color="000000" w:fill="FFFFFF"/>
            <w:noWrap/>
            <w:vAlign w:val="center"/>
            <w:hideMark/>
          </w:tcPr>
          <w:p w14:paraId="752A0700" w14:textId="77777777" w:rsidR="008B17ED" w:rsidRPr="00F33275" w:rsidRDefault="008B17ED"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Net Operating Profit After Tax</w:t>
            </w:r>
          </w:p>
        </w:tc>
        <w:tc>
          <w:tcPr>
            <w:tcW w:w="1286" w:type="dxa"/>
            <w:vAlign w:val="center"/>
          </w:tcPr>
          <w:p w14:paraId="685B8F52" w14:textId="6103568D"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996,784</w:t>
            </w:r>
          </w:p>
        </w:tc>
        <w:tc>
          <w:tcPr>
            <w:tcW w:w="1287" w:type="dxa"/>
            <w:vAlign w:val="center"/>
          </w:tcPr>
          <w:p w14:paraId="1B96349A" w14:textId="6A63B0E5"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1,027,672</w:t>
            </w:r>
          </w:p>
        </w:tc>
        <w:tc>
          <w:tcPr>
            <w:tcW w:w="1287" w:type="dxa"/>
            <w:shd w:val="clear" w:color="auto" w:fill="auto"/>
            <w:noWrap/>
            <w:vAlign w:val="center"/>
            <w:hideMark/>
          </w:tcPr>
          <w:p w14:paraId="6C6CBC6D" w14:textId="37C7B902"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698,287</w:t>
            </w:r>
          </w:p>
        </w:tc>
        <w:tc>
          <w:tcPr>
            <w:tcW w:w="1287" w:type="dxa"/>
            <w:tcBorders>
              <w:bottom w:val="single" w:sz="4" w:space="0" w:color="auto"/>
            </w:tcBorders>
            <w:vAlign w:val="center"/>
          </w:tcPr>
          <w:p w14:paraId="7BA3BAAA" w14:textId="6DD796F4" w:rsidR="008B17ED" w:rsidRPr="00F33275" w:rsidRDefault="00793F5C" w:rsidP="00793F5C">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491,721</w:t>
            </w:r>
          </w:p>
        </w:tc>
        <w:tc>
          <w:tcPr>
            <w:tcW w:w="1287" w:type="dxa"/>
            <w:shd w:val="clear" w:color="auto" w:fill="auto"/>
            <w:noWrap/>
            <w:vAlign w:val="center"/>
            <w:hideMark/>
          </w:tcPr>
          <w:p w14:paraId="2285A28D" w14:textId="0BF1E53E" w:rsidR="008B17ED" w:rsidRPr="00F33275" w:rsidRDefault="00A80B9F"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803,616</w:t>
            </w:r>
          </w:p>
        </w:tc>
      </w:tr>
      <w:tr w:rsidR="008B17ED" w:rsidRPr="00305342" w14:paraId="6D930B63" w14:textId="77777777" w:rsidTr="00F33275">
        <w:trPr>
          <w:trHeight w:val="360"/>
          <w:jc w:val="center"/>
        </w:trPr>
        <w:tc>
          <w:tcPr>
            <w:tcW w:w="1839" w:type="dxa"/>
            <w:shd w:val="clear" w:color="000000" w:fill="FFFFFF"/>
            <w:noWrap/>
            <w:vAlign w:val="center"/>
            <w:hideMark/>
          </w:tcPr>
          <w:p w14:paraId="20EAF29C" w14:textId="284E0AFC" w:rsidR="008B17ED" w:rsidRPr="00F33275" w:rsidRDefault="008B17ED" w:rsidP="005A1DD4">
            <w:pPr>
              <w:rPr>
                <w:rFonts w:asciiTheme="minorHAnsi" w:hAnsiTheme="minorHAnsi" w:cstheme="minorHAnsi"/>
                <w:sz w:val="18"/>
                <w:szCs w:val="18"/>
                <w:lang w:eastAsia="en-GB"/>
              </w:rPr>
            </w:pPr>
            <w:bookmarkStart w:id="29" w:name="OLE_LINK5"/>
            <w:r w:rsidRPr="00F33275">
              <w:rPr>
                <w:rFonts w:asciiTheme="minorHAnsi" w:hAnsiTheme="minorHAnsi" w:cstheme="minorHAnsi"/>
                <w:sz w:val="18"/>
                <w:szCs w:val="18"/>
                <w:lang w:eastAsia="en-GB"/>
              </w:rPr>
              <w:t>Dividends Paid to GoL</w:t>
            </w:r>
            <w:bookmarkEnd w:id="29"/>
          </w:p>
        </w:tc>
        <w:tc>
          <w:tcPr>
            <w:tcW w:w="1286" w:type="dxa"/>
            <w:vAlign w:val="center"/>
          </w:tcPr>
          <w:p w14:paraId="706A1885" w14:textId="4EC88D33"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307,800  </w:t>
            </w:r>
          </w:p>
        </w:tc>
        <w:tc>
          <w:tcPr>
            <w:tcW w:w="1287" w:type="dxa"/>
            <w:vAlign w:val="center"/>
          </w:tcPr>
          <w:p w14:paraId="313B9BF4" w14:textId="1BDCE2A7"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149,400  </w:t>
            </w:r>
          </w:p>
        </w:tc>
        <w:tc>
          <w:tcPr>
            <w:tcW w:w="1287" w:type="dxa"/>
            <w:shd w:val="clear" w:color="auto" w:fill="auto"/>
            <w:noWrap/>
            <w:vAlign w:val="center"/>
            <w:hideMark/>
          </w:tcPr>
          <w:p w14:paraId="56DAC05F" w14:textId="440B00B2"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219,000  </w:t>
            </w:r>
          </w:p>
        </w:tc>
        <w:tc>
          <w:tcPr>
            <w:tcW w:w="1287" w:type="dxa"/>
            <w:shd w:val="clear" w:color="auto" w:fill="auto"/>
            <w:vAlign w:val="center"/>
          </w:tcPr>
          <w:p w14:paraId="696ADDD1" w14:textId="7AED1E64" w:rsidR="008B17ED" w:rsidRPr="00F33275" w:rsidRDefault="00E70B72" w:rsidP="005D564C">
            <w:pPr>
              <w:spacing w:before="60" w:after="60"/>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w:t>
            </w:r>
          </w:p>
        </w:tc>
        <w:tc>
          <w:tcPr>
            <w:tcW w:w="1287" w:type="dxa"/>
            <w:shd w:val="clear" w:color="auto" w:fill="auto"/>
            <w:noWrap/>
            <w:vAlign w:val="center"/>
            <w:hideMark/>
          </w:tcPr>
          <w:p w14:paraId="2112E976" w14:textId="3EF3041F" w:rsidR="008B17ED" w:rsidRPr="00F33275" w:rsidRDefault="00A80B9F"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169,050</w:t>
            </w:r>
            <w:r w:rsidR="008B17ED" w:rsidRPr="00F33275">
              <w:rPr>
                <w:rFonts w:asciiTheme="minorHAnsi" w:hAnsiTheme="minorHAnsi" w:cstheme="minorHAnsi"/>
                <w:color w:val="000000" w:themeColor="text1"/>
                <w:sz w:val="18"/>
                <w:szCs w:val="18"/>
                <w:lang w:eastAsia="en-GB"/>
              </w:rPr>
              <w:t xml:space="preserve"> </w:t>
            </w:r>
          </w:p>
        </w:tc>
      </w:tr>
      <w:tr w:rsidR="008B17ED" w:rsidRPr="00305342" w14:paraId="3C3EC82E" w14:textId="77777777" w:rsidTr="00F33275">
        <w:trPr>
          <w:trHeight w:val="360"/>
          <w:jc w:val="center"/>
        </w:trPr>
        <w:tc>
          <w:tcPr>
            <w:tcW w:w="1839" w:type="dxa"/>
            <w:shd w:val="clear" w:color="000000" w:fill="FFFFFF"/>
            <w:noWrap/>
            <w:vAlign w:val="center"/>
            <w:hideMark/>
          </w:tcPr>
          <w:p w14:paraId="3D28C5A8" w14:textId="77777777" w:rsidR="008B17ED" w:rsidRPr="00F33275" w:rsidRDefault="008B17ED"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Total Assets</w:t>
            </w:r>
          </w:p>
        </w:tc>
        <w:tc>
          <w:tcPr>
            <w:tcW w:w="1286" w:type="dxa"/>
            <w:vAlign w:val="center"/>
          </w:tcPr>
          <w:p w14:paraId="60339F10" w14:textId="1FE73DA8"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2,955,052</w:t>
            </w:r>
          </w:p>
        </w:tc>
        <w:tc>
          <w:tcPr>
            <w:tcW w:w="1287" w:type="dxa"/>
            <w:vAlign w:val="center"/>
          </w:tcPr>
          <w:p w14:paraId="376A0B45" w14:textId="2FD6F5D3"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3,449,664</w:t>
            </w:r>
          </w:p>
        </w:tc>
        <w:tc>
          <w:tcPr>
            <w:tcW w:w="1287" w:type="dxa"/>
            <w:shd w:val="clear" w:color="auto" w:fill="auto"/>
            <w:noWrap/>
            <w:vAlign w:val="center"/>
          </w:tcPr>
          <w:p w14:paraId="7A3F2377" w14:textId="011BB483"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3,407,840</w:t>
            </w:r>
          </w:p>
        </w:tc>
        <w:tc>
          <w:tcPr>
            <w:tcW w:w="1287" w:type="dxa"/>
            <w:vAlign w:val="center"/>
          </w:tcPr>
          <w:p w14:paraId="194E8AD9" w14:textId="716D2B22" w:rsidR="008B17ED" w:rsidRPr="00F33275" w:rsidRDefault="00C6280A" w:rsidP="00793F5C">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4,092,936</w:t>
            </w:r>
          </w:p>
        </w:tc>
        <w:tc>
          <w:tcPr>
            <w:tcW w:w="1287" w:type="dxa"/>
            <w:shd w:val="clear" w:color="auto" w:fill="auto"/>
            <w:noWrap/>
            <w:vAlign w:val="center"/>
            <w:hideMark/>
          </w:tcPr>
          <w:p w14:paraId="63407E6B" w14:textId="59F4360B" w:rsidR="008B17ED" w:rsidRPr="00F33275" w:rsidRDefault="00A80B9F"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3,476,373</w:t>
            </w:r>
          </w:p>
        </w:tc>
      </w:tr>
      <w:tr w:rsidR="008B17ED" w:rsidRPr="00305342" w14:paraId="13A182C4" w14:textId="77777777" w:rsidTr="00F33275">
        <w:trPr>
          <w:trHeight w:val="360"/>
          <w:jc w:val="center"/>
        </w:trPr>
        <w:tc>
          <w:tcPr>
            <w:tcW w:w="1839" w:type="dxa"/>
            <w:shd w:val="clear" w:color="000000" w:fill="FFFFFF"/>
            <w:noWrap/>
            <w:vAlign w:val="center"/>
            <w:hideMark/>
          </w:tcPr>
          <w:p w14:paraId="4F926979" w14:textId="77777777" w:rsidR="008B17ED" w:rsidRPr="00F33275" w:rsidRDefault="008B17ED"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Total Liabilities</w:t>
            </w:r>
          </w:p>
        </w:tc>
        <w:tc>
          <w:tcPr>
            <w:tcW w:w="1286" w:type="dxa"/>
            <w:vAlign w:val="center"/>
          </w:tcPr>
          <w:p w14:paraId="3EE51BDA" w14:textId="1EB67B42"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1,240,277</w:t>
            </w:r>
          </w:p>
        </w:tc>
        <w:tc>
          <w:tcPr>
            <w:tcW w:w="1287" w:type="dxa"/>
            <w:vAlign w:val="center"/>
          </w:tcPr>
          <w:p w14:paraId="766A4C50" w14:textId="67FAE000"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1,198,996</w:t>
            </w:r>
          </w:p>
        </w:tc>
        <w:tc>
          <w:tcPr>
            <w:tcW w:w="1287" w:type="dxa"/>
            <w:shd w:val="clear" w:color="auto" w:fill="auto"/>
            <w:noWrap/>
            <w:vAlign w:val="center"/>
          </w:tcPr>
          <w:p w14:paraId="66FE9C43" w14:textId="022D0A73"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1,182,178</w:t>
            </w:r>
          </w:p>
        </w:tc>
        <w:tc>
          <w:tcPr>
            <w:tcW w:w="1287" w:type="dxa"/>
            <w:vAlign w:val="center"/>
          </w:tcPr>
          <w:p w14:paraId="01D27555" w14:textId="01C29FEA" w:rsidR="008B17ED" w:rsidRPr="00F33275" w:rsidRDefault="00C6280A" w:rsidP="00793F5C">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1,370,</w:t>
            </w:r>
            <w:r w:rsidR="00185D71" w:rsidRPr="00F33275">
              <w:rPr>
                <w:rFonts w:asciiTheme="minorHAnsi" w:hAnsiTheme="minorHAnsi" w:cstheme="minorHAnsi"/>
                <w:color w:val="000000" w:themeColor="text1"/>
                <w:sz w:val="18"/>
                <w:szCs w:val="18"/>
                <w:lang w:eastAsia="en-GB"/>
              </w:rPr>
              <w:t>541</w:t>
            </w:r>
          </w:p>
        </w:tc>
        <w:tc>
          <w:tcPr>
            <w:tcW w:w="1287" w:type="dxa"/>
            <w:shd w:val="clear" w:color="auto" w:fill="auto"/>
            <w:noWrap/>
            <w:vAlign w:val="center"/>
            <w:hideMark/>
          </w:tcPr>
          <w:p w14:paraId="50BD9247" w14:textId="7E7C0935"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1,2</w:t>
            </w:r>
            <w:r w:rsidR="00A80B9F" w:rsidRPr="00F33275">
              <w:rPr>
                <w:rFonts w:asciiTheme="minorHAnsi" w:hAnsiTheme="minorHAnsi" w:cstheme="minorHAnsi"/>
                <w:color w:val="000000" w:themeColor="text1"/>
                <w:sz w:val="18"/>
                <w:szCs w:val="18"/>
                <w:lang w:eastAsia="en-GB"/>
              </w:rPr>
              <w:t>4</w:t>
            </w:r>
            <w:r w:rsidRPr="00F33275">
              <w:rPr>
                <w:rFonts w:asciiTheme="minorHAnsi" w:hAnsiTheme="minorHAnsi" w:cstheme="minorHAnsi"/>
                <w:color w:val="000000" w:themeColor="text1"/>
                <w:sz w:val="18"/>
                <w:szCs w:val="18"/>
                <w:lang w:eastAsia="en-GB"/>
              </w:rPr>
              <w:t>7</w:t>
            </w:r>
            <w:r w:rsidR="00A80B9F" w:rsidRPr="00F33275">
              <w:rPr>
                <w:rFonts w:asciiTheme="minorHAnsi" w:hAnsiTheme="minorHAnsi" w:cstheme="minorHAnsi"/>
                <w:color w:val="000000" w:themeColor="text1"/>
                <w:sz w:val="18"/>
                <w:szCs w:val="18"/>
                <w:lang w:eastAsia="en-GB"/>
              </w:rPr>
              <w:t>,998</w:t>
            </w:r>
          </w:p>
        </w:tc>
      </w:tr>
      <w:tr w:rsidR="008B17ED" w:rsidRPr="00305342" w14:paraId="23B7DCD8" w14:textId="77777777" w:rsidTr="00F33275">
        <w:trPr>
          <w:trHeight w:val="360"/>
          <w:jc w:val="center"/>
        </w:trPr>
        <w:tc>
          <w:tcPr>
            <w:tcW w:w="1839" w:type="dxa"/>
            <w:shd w:val="clear" w:color="000000" w:fill="FFFFFF"/>
            <w:noWrap/>
            <w:vAlign w:val="center"/>
            <w:hideMark/>
          </w:tcPr>
          <w:p w14:paraId="36224BEE" w14:textId="77777777" w:rsidR="008B17ED" w:rsidRPr="00F33275" w:rsidRDefault="008B17ED"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Shareholders' Funds</w:t>
            </w:r>
          </w:p>
        </w:tc>
        <w:tc>
          <w:tcPr>
            <w:tcW w:w="1286" w:type="dxa"/>
            <w:vAlign w:val="center"/>
          </w:tcPr>
          <w:p w14:paraId="5CC7C22D" w14:textId="75ED170A"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1,714,775</w:t>
            </w:r>
          </w:p>
        </w:tc>
        <w:tc>
          <w:tcPr>
            <w:tcW w:w="1287" w:type="dxa"/>
            <w:vAlign w:val="center"/>
          </w:tcPr>
          <w:p w14:paraId="76711495" w14:textId="7E10C86A"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2,250,668</w:t>
            </w:r>
          </w:p>
        </w:tc>
        <w:tc>
          <w:tcPr>
            <w:tcW w:w="1287" w:type="dxa"/>
            <w:shd w:val="clear" w:color="auto" w:fill="auto"/>
            <w:noWrap/>
            <w:vAlign w:val="center"/>
          </w:tcPr>
          <w:p w14:paraId="6B2F88F8" w14:textId="38ECB09B"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2,225,662</w:t>
            </w:r>
          </w:p>
        </w:tc>
        <w:tc>
          <w:tcPr>
            <w:tcW w:w="1287" w:type="dxa"/>
            <w:vAlign w:val="center"/>
          </w:tcPr>
          <w:p w14:paraId="5271CEEC" w14:textId="227D7F2B" w:rsidR="008B17ED" w:rsidRPr="00F33275" w:rsidRDefault="00185D71" w:rsidP="00793F5C">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2,722,395</w:t>
            </w:r>
          </w:p>
        </w:tc>
        <w:tc>
          <w:tcPr>
            <w:tcW w:w="1287" w:type="dxa"/>
            <w:shd w:val="clear" w:color="auto" w:fill="auto"/>
            <w:noWrap/>
            <w:vAlign w:val="center"/>
            <w:hideMark/>
          </w:tcPr>
          <w:p w14:paraId="19A68137" w14:textId="3FDE55D7" w:rsidR="008B17ED" w:rsidRPr="00F33275" w:rsidRDefault="008B17ED" w:rsidP="0079253A">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w:t>
            </w:r>
            <w:r w:rsidR="0079253A" w:rsidRPr="00F33275">
              <w:rPr>
                <w:rFonts w:asciiTheme="minorHAnsi" w:hAnsiTheme="minorHAnsi" w:cstheme="minorHAnsi"/>
                <w:color w:val="000000" w:themeColor="text1"/>
                <w:sz w:val="18"/>
                <w:szCs w:val="18"/>
                <w:lang w:eastAsia="en-GB"/>
              </w:rPr>
              <w:t>228</w:t>
            </w:r>
            <w:r w:rsidRPr="00F33275">
              <w:rPr>
                <w:rFonts w:asciiTheme="minorHAnsi" w:hAnsiTheme="minorHAnsi" w:cstheme="minorHAnsi"/>
                <w:color w:val="000000" w:themeColor="text1"/>
                <w:sz w:val="18"/>
                <w:szCs w:val="18"/>
                <w:lang w:eastAsia="en-GB"/>
              </w:rPr>
              <w:t>,</w:t>
            </w:r>
            <w:r w:rsidR="0079253A" w:rsidRPr="00F33275">
              <w:rPr>
                <w:rFonts w:asciiTheme="minorHAnsi" w:hAnsiTheme="minorHAnsi" w:cstheme="minorHAnsi"/>
                <w:color w:val="000000" w:themeColor="text1"/>
                <w:sz w:val="18"/>
                <w:szCs w:val="18"/>
                <w:lang w:eastAsia="en-GB"/>
              </w:rPr>
              <w:t>375</w:t>
            </w:r>
          </w:p>
        </w:tc>
      </w:tr>
      <w:tr w:rsidR="008B17ED" w:rsidRPr="00305342" w14:paraId="4EDE5F54" w14:textId="77777777" w:rsidTr="00F33275">
        <w:trPr>
          <w:trHeight w:val="360"/>
          <w:jc w:val="center"/>
        </w:trPr>
        <w:tc>
          <w:tcPr>
            <w:tcW w:w="1839" w:type="dxa"/>
            <w:shd w:val="clear" w:color="000000" w:fill="FFFFFF"/>
            <w:noWrap/>
            <w:vAlign w:val="center"/>
          </w:tcPr>
          <w:p w14:paraId="5FA01758" w14:textId="77777777" w:rsidR="008B17ED" w:rsidRPr="00F33275" w:rsidRDefault="008B17ED"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EBITDA %</w:t>
            </w:r>
          </w:p>
        </w:tc>
        <w:tc>
          <w:tcPr>
            <w:tcW w:w="1286" w:type="dxa"/>
            <w:vAlign w:val="center"/>
          </w:tcPr>
          <w:p w14:paraId="1BAC72BF" w14:textId="5700032A"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64%</w:t>
            </w:r>
          </w:p>
        </w:tc>
        <w:tc>
          <w:tcPr>
            <w:tcW w:w="1287" w:type="dxa"/>
            <w:vAlign w:val="center"/>
          </w:tcPr>
          <w:p w14:paraId="41BAD2D1" w14:textId="05F54FC3"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65% </w:t>
            </w:r>
          </w:p>
        </w:tc>
        <w:tc>
          <w:tcPr>
            <w:tcW w:w="1287" w:type="dxa"/>
            <w:shd w:val="clear" w:color="auto" w:fill="auto"/>
            <w:noWrap/>
            <w:vAlign w:val="center"/>
          </w:tcPr>
          <w:p w14:paraId="37367611" w14:textId="2C33E730"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57%</w:t>
            </w:r>
          </w:p>
        </w:tc>
        <w:tc>
          <w:tcPr>
            <w:tcW w:w="1287" w:type="dxa"/>
            <w:vAlign w:val="center"/>
          </w:tcPr>
          <w:p w14:paraId="19635FFD" w14:textId="250972D0" w:rsidR="008B17ED" w:rsidRPr="00F33275" w:rsidRDefault="00834866" w:rsidP="00793F5C">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60%</w:t>
            </w:r>
          </w:p>
        </w:tc>
        <w:tc>
          <w:tcPr>
            <w:tcW w:w="1287" w:type="dxa"/>
            <w:shd w:val="clear" w:color="auto" w:fill="auto"/>
            <w:noWrap/>
            <w:vAlign w:val="center"/>
          </w:tcPr>
          <w:p w14:paraId="3F5C315C" w14:textId="4F8FF963"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6</w:t>
            </w:r>
            <w:r w:rsidR="0079253A" w:rsidRPr="00F33275">
              <w:rPr>
                <w:rFonts w:asciiTheme="minorHAnsi" w:hAnsiTheme="minorHAnsi" w:cstheme="minorHAnsi"/>
                <w:color w:val="000000" w:themeColor="text1"/>
                <w:sz w:val="18"/>
                <w:szCs w:val="18"/>
                <w:lang w:eastAsia="en-GB"/>
              </w:rPr>
              <w:t>1.5</w:t>
            </w:r>
            <w:r w:rsidRPr="00F33275">
              <w:rPr>
                <w:rFonts w:asciiTheme="minorHAnsi" w:hAnsiTheme="minorHAnsi" w:cstheme="minorHAnsi"/>
                <w:color w:val="000000" w:themeColor="text1"/>
                <w:sz w:val="18"/>
                <w:szCs w:val="18"/>
                <w:lang w:eastAsia="en-GB"/>
              </w:rPr>
              <w:t>%</w:t>
            </w:r>
          </w:p>
        </w:tc>
      </w:tr>
      <w:tr w:rsidR="008B17ED" w:rsidRPr="00305342" w14:paraId="293FCBE2" w14:textId="77777777" w:rsidTr="00F33275">
        <w:trPr>
          <w:trHeight w:val="360"/>
          <w:jc w:val="center"/>
        </w:trPr>
        <w:tc>
          <w:tcPr>
            <w:tcW w:w="1839" w:type="dxa"/>
            <w:shd w:val="clear" w:color="000000" w:fill="FFFFFF"/>
            <w:noWrap/>
            <w:vAlign w:val="center"/>
          </w:tcPr>
          <w:p w14:paraId="43FBE93D" w14:textId="77777777" w:rsidR="008B17ED" w:rsidRPr="00F33275" w:rsidRDefault="008B17ED"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NOPAT %</w:t>
            </w:r>
          </w:p>
        </w:tc>
        <w:tc>
          <w:tcPr>
            <w:tcW w:w="1286" w:type="dxa"/>
            <w:vAlign w:val="center"/>
          </w:tcPr>
          <w:p w14:paraId="322FAD31" w14:textId="677211C3"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32.4%</w:t>
            </w:r>
          </w:p>
        </w:tc>
        <w:tc>
          <w:tcPr>
            <w:tcW w:w="1287" w:type="dxa"/>
            <w:vAlign w:val="center"/>
          </w:tcPr>
          <w:p w14:paraId="6A13F715" w14:textId="7622F660"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32.6%</w:t>
            </w:r>
          </w:p>
        </w:tc>
        <w:tc>
          <w:tcPr>
            <w:tcW w:w="1287" w:type="dxa"/>
            <w:shd w:val="clear" w:color="auto" w:fill="auto"/>
            <w:noWrap/>
            <w:vAlign w:val="center"/>
          </w:tcPr>
          <w:p w14:paraId="1AFAC902" w14:textId="364B1B60"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25.4%</w:t>
            </w:r>
          </w:p>
        </w:tc>
        <w:tc>
          <w:tcPr>
            <w:tcW w:w="1287" w:type="dxa"/>
            <w:vAlign w:val="center"/>
          </w:tcPr>
          <w:p w14:paraId="2FC9A70C" w14:textId="76866967" w:rsidR="008B17ED" w:rsidRPr="00F33275" w:rsidRDefault="00834866" w:rsidP="00793F5C">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18.1%</w:t>
            </w:r>
          </w:p>
        </w:tc>
        <w:tc>
          <w:tcPr>
            <w:tcW w:w="1287" w:type="dxa"/>
            <w:shd w:val="clear" w:color="auto" w:fill="auto"/>
            <w:noWrap/>
            <w:vAlign w:val="center"/>
          </w:tcPr>
          <w:p w14:paraId="21FE062E" w14:textId="0B398CA0" w:rsidR="008B17ED" w:rsidRPr="00F33275" w:rsidRDefault="0079253A"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27.13</w:t>
            </w:r>
            <w:r w:rsidR="008B17ED" w:rsidRPr="00F33275">
              <w:rPr>
                <w:rFonts w:asciiTheme="minorHAnsi" w:hAnsiTheme="minorHAnsi" w:cstheme="minorHAnsi"/>
                <w:color w:val="000000" w:themeColor="text1"/>
                <w:sz w:val="18"/>
                <w:szCs w:val="18"/>
                <w:lang w:eastAsia="en-GB"/>
              </w:rPr>
              <w:t>%</w:t>
            </w:r>
          </w:p>
        </w:tc>
      </w:tr>
      <w:tr w:rsidR="008B17ED" w:rsidRPr="00305342" w14:paraId="452D6EAC" w14:textId="77777777" w:rsidTr="00F33275">
        <w:trPr>
          <w:trHeight w:val="360"/>
          <w:jc w:val="center"/>
        </w:trPr>
        <w:tc>
          <w:tcPr>
            <w:tcW w:w="1839" w:type="dxa"/>
            <w:shd w:val="clear" w:color="000000" w:fill="FFFFFF"/>
            <w:noWrap/>
            <w:vAlign w:val="center"/>
            <w:hideMark/>
          </w:tcPr>
          <w:p w14:paraId="0F7D6749" w14:textId="77777777" w:rsidR="008B17ED" w:rsidRPr="00F33275" w:rsidRDefault="008B17ED"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ROE %</w:t>
            </w:r>
          </w:p>
        </w:tc>
        <w:tc>
          <w:tcPr>
            <w:tcW w:w="1286" w:type="dxa"/>
            <w:vAlign w:val="center"/>
          </w:tcPr>
          <w:p w14:paraId="58F00840" w14:textId="3A7C8DFF"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58.1%</w:t>
            </w:r>
          </w:p>
        </w:tc>
        <w:tc>
          <w:tcPr>
            <w:tcW w:w="1287" w:type="dxa"/>
            <w:vAlign w:val="center"/>
          </w:tcPr>
          <w:p w14:paraId="0B7969F4" w14:textId="50DA5DCE"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45.7%</w:t>
            </w:r>
          </w:p>
        </w:tc>
        <w:tc>
          <w:tcPr>
            <w:tcW w:w="1287" w:type="dxa"/>
            <w:shd w:val="clear" w:color="auto" w:fill="auto"/>
            <w:noWrap/>
            <w:vAlign w:val="center"/>
          </w:tcPr>
          <w:p w14:paraId="4BE25BEE" w14:textId="5ACA2D88"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31.4%</w:t>
            </w:r>
          </w:p>
        </w:tc>
        <w:tc>
          <w:tcPr>
            <w:tcW w:w="1287" w:type="dxa"/>
            <w:vAlign w:val="center"/>
          </w:tcPr>
          <w:p w14:paraId="1A3128A2" w14:textId="5078F8A4" w:rsidR="008B17ED" w:rsidRPr="00F33275" w:rsidRDefault="00834866" w:rsidP="00793F5C">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18.1%</w:t>
            </w:r>
          </w:p>
        </w:tc>
        <w:tc>
          <w:tcPr>
            <w:tcW w:w="1287" w:type="dxa"/>
            <w:shd w:val="clear" w:color="auto" w:fill="auto"/>
            <w:noWrap/>
            <w:vAlign w:val="center"/>
            <w:hideMark/>
          </w:tcPr>
          <w:p w14:paraId="45ED8C55" w14:textId="136455BA" w:rsidR="008B17ED" w:rsidRPr="00F33275" w:rsidRDefault="0079253A" w:rsidP="0079253A">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38</w:t>
            </w:r>
            <w:r w:rsidR="008B17ED" w:rsidRPr="00F33275">
              <w:rPr>
                <w:rFonts w:asciiTheme="minorHAnsi" w:hAnsiTheme="minorHAnsi" w:cstheme="minorHAnsi"/>
                <w:color w:val="000000" w:themeColor="text1"/>
                <w:sz w:val="18"/>
                <w:szCs w:val="18"/>
                <w:lang w:eastAsia="en-GB"/>
              </w:rPr>
              <w:t>.</w:t>
            </w:r>
            <w:r w:rsidRPr="00F33275">
              <w:rPr>
                <w:rFonts w:asciiTheme="minorHAnsi" w:hAnsiTheme="minorHAnsi" w:cstheme="minorHAnsi"/>
                <w:color w:val="000000" w:themeColor="text1"/>
                <w:sz w:val="18"/>
                <w:szCs w:val="18"/>
                <w:lang w:eastAsia="en-GB"/>
              </w:rPr>
              <w:t>33</w:t>
            </w:r>
            <w:r w:rsidR="008B17ED" w:rsidRPr="00F33275">
              <w:rPr>
                <w:rFonts w:asciiTheme="minorHAnsi" w:hAnsiTheme="minorHAnsi" w:cstheme="minorHAnsi"/>
                <w:color w:val="000000" w:themeColor="text1"/>
                <w:sz w:val="18"/>
                <w:szCs w:val="18"/>
                <w:lang w:eastAsia="en-GB"/>
              </w:rPr>
              <w:t>%</w:t>
            </w:r>
          </w:p>
        </w:tc>
      </w:tr>
      <w:tr w:rsidR="008B17ED" w:rsidRPr="00305342" w14:paraId="20FC8427" w14:textId="77777777" w:rsidTr="00F33275">
        <w:trPr>
          <w:trHeight w:val="360"/>
          <w:jc w:val="center"/>
        </w:trPr>
        <w:tc>
          <w:tcPr>
            <w:tcW w:w="1839" w:type="dxa"/>
            <w:shd w:val="clear" w:color="000000" w:fill="FFFFFF"/>
            <w:noWrap/>
            <w:vAlign w:val="center"/>
            <w:hideMark/>
          </w:tcPr>
          <w:p w14:paraId="7AFB957F" w14:textId="77777777" w:rsidR="008B17ED" w:rsidRPr="00F33275" w:rsidRDefault="008B17ED"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ROA %</w:t>
            </w:r>
          </w:p>
        </w:tc>
        <w:tc>
          <w:tcPr>
            <w:tcW w:w="1286" w:type="dxa"/>
            <w:vAlign w:val="center"/>
          </w:tcPr>
          <w:p w14:paraId="20A32140" w14:textId="40FF762E"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33.7%</w:t>
            </w:r>
          </w:p>
        </w:tc>
        <w:tc>
          <w:tcPr>
            <w:tcW w:w="1287" w:type="dxa"/>
            <w:vAlign w:val="center"/>
          </w:tcPr>
          <w:p w14:paraId="2D3F4E52" w14:textId="27AD5333"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29.8%</w:t>
            </w:r>
          </w:p>
        </w:tc>
        <w:tc>
          <w:tcPr>
            <w:tcW w:w="1287" w:type="dxa"/>
            <w:shd w:val="clear" w:color="auto" w:fill="auto"/>
            <w:noWrap/>
            <w:vAlign w:val="center"/>
          </w:tcPr>
          <w:p w14:paraId="70AC70DC" w14:textId="6528AEFC"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20.5%</w:t>
            </w:r>
          </w:p>
        </w:tc>
        <w:tc>
          <w:tcPr>
            <w:tcW w:w="1287" w:type="dxa"/>
            <w:vAlign w:val="center"/>
          </w:tcPr>
          <w:p w14:paraId="2AA48115" w14:textId="5DBE95D1" w:rsidR="00834866" w:rsidRPr="00F33275" w:rsidRDefault="00834866" w:rsidP="00834866">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12.0%</w:t>
            </w:r>
          </w:p>
        </w:tc>
        <w:tc>
          <w:tcPr>
            <w:tcW w:w="1287" w:type="dxa"/>
            <w:shd w:val="clear" w:color="auto" w:fill="auto"/>
            <w:noWrap/>
            <w:vAlign w:val="center"/>
            <w:hideMark/>
          </w:tcPr>
          <w:p w14:paraId="2272964B" w14:textId="5FE5F13B"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w:t>
            </w:r>
            <w:r w:rsidR="0079253A" w:rsidRPr="00F33275">
              <w:rPr>
                <w:rFonts w:asciiTheme="minorHAnsi" w:hAnsiTheme="minorHAnsi" w:cstheme="minorHAnsi"/>
                <w:color w:val="000000" w:themeColor="text1"/>
                <w:sz w:val="18"/>
                <w:szCs w:val="18"/>
                <w:lang w:eastAsia="en-GB"/>
              </w:rPr>
              <w:t>4</w:t>
            </w:r>
            <w:r w:rsidRPr="00F33275">
              <w:rPr>
                <w:rFonts w:asciiTheme="minorHAnsi" w:hAnsiTheme="minorHAnsi" w:cstheme="minorHAnsi"/>
                <w:color w:val="000000" w:themeColor="text1"/>
                <w:sz w:val="18"/>
                <w:szCs w:val="18"/>
                <w:lang w:eastAsia="en-GB"/>
              </w:rPr>
              <w:t>.0%</w:t>
            </w:r>
          </w:p>
        </w:tc>
      </w:tr>
      <w:tr w:rsidR="008B17ED" w:rsidRPr="00305342" w14:paraId="71BBD47C" w14:textId="77777777" w:rsidTr="00F33275">
        <w:trPr>
          <w:trHeight w:val="360"/>
          <w:jc w:val="center"/>
        </w:trPr>
        <w:tc>
          <w:tcPr>
            <w:tcW w:w="1839" w:type="dxa"/>
            <w:shd w:val="clear" w:color="000000" w:fill="FFFFFF"/>
            <w:noWrap/>
            <w:vAlign w:val="center"/>
          </w:tcPr>
          <w:p w14:paraId="12669BE5" w14:textId="04C03BB1" w:rsidR="008B17ED" w:rsidRPr="00F33275" w:rsidRDefault="008B17ED"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Current Assets / Current liabilities</w:t>
            </w:r>
          </w:p>
        </w:tc>
        <w:tc>
          <w:tcPr>
            <w:tcW w:w="1286" w:type="dxa"/>
            <w:vAlign w:val="center"/>
          </w:tcPr>
          <w:p w14:paraId="05775DDC" w14:textId="60573146"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1.75</w:t>
            </w:r>
          </w:p>
        </w:tc>
        <w:tc>
          <w:tcPr>
            <w:tcW w:w="1287" w:type="dxa"/>
            <w:vAlign w:val="center"/>
          </w:tcPr>
          <w:p w14:paraId="4F588734" w14:textId="48921EA7"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2.34 </w:t>
            </w:r>
          </w:p>
        </w:tc>
        <w:tc>
          <w:tcPr>
            <w:tcW w:w="1287" w:type="dxa"/>
            <w:shd w:val="clear" w:color="auto" w:fill="auto"/>
            <w:noWrap/>
            <w:vAlign w:val="center"/>
          </w:tcPr>
          <w:p w14:paraId="1247BE45" w14:textId="5D1AB375"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1.70 </w:t>
            </w:r>
          </w:p>
        </w:tc>
        <w:tc>
          <w:tcPr>
            <w:tcW w:w="1287" w:type="dxa"/>
            <w:vAlign w:val="center"/>
          </w:tcPr>
          <w:p w14:paraId="7A435AE3" w14:textId="73866CAE" w:rsidR="008B17ED" w:rsidRPr="00F33275" w:rsidRDefault="00834866" w:rsidP="00793F5C">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3.09</w:t>
            </w:r>
          </w:p>
        </w:tc>
        <w:tc>
          <w:tcPr>
            <w:tcW w:w="1287" w:type="dxa"/>
            <w:shd w:val="clear" w:color="auto" w:fill="auto"/>
            <w:noWrap/>
            <w:vAlign w:val="center"/>
          </w:tcPr>
          <w:p w14:paraId="655B1184" w14:textId="3EFBE0A5" w:rsidR="008B17ED" w:rsidRPr="00F33275" w:rsidRDefault="0079253A"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2.22</w:t>
            </w:r>
          </w:p>
        </w:tc>
      </w:tr>
      <w:tr w:rsidR="008B17ED" w:rsidRPr="00305342" w14:paraId="2A10E48C" w14:textId="77777777" w:rsidTr="00F33275">
        <w:trPr>
          <w:trHeight w:val="360"/>
          <w:jc w:val="center"/>
        </w:trPr>
        <w:tc>
          <w:tcPr>
            <w:tcW w:w="1839" w:type="dxa"/>
            <w:shd w:val="clear" w:color="000000" w:fill="FFFFFF"/>
            <w:noWrap/>
            <w:vAlign w:val="center"/>
          </w:tcPr>
          <w:p w14:paraId="4DD38997" w14:textId="77777777" w:rsidR="008B17ED" w:rsidRPr="00F33275" w:rsidRDefault="008B17ED"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Quick Ratio</w:t>
            </w:r>
          </w:p>
        </w:tc>
        <w:tc>
          <w:tcPr>
            <w:tcW w:w="1286" w:type="dxa"/>
            <w:vAlign w:val="center"/>
          </w:tcPr>
          <w:p w14:paraId="4752391A" w14:textId="30536871"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1.27 </w:t>
            </w:r>
          </w:p>
        </w:tc>
        <w:tc>
          <w:tcPr>
            <w:tcW w:w="1287" w:type="dxa"/>
            <w:vAlign w:val="center"/>
          </w:tcPr>
          <w:p w14:paraId="38656CB8" w14:textId="71D5750E"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 1.74</w:t>
            </w:r>
          </w:p>
        </w:tc>
        <w:tc>
          <w:tcPr>
            <w:tcW w:w="1287" w:type="dxa"/>
            <w:shd w:val="clear" w:color="auto" w:fill="auto"/>
            <w:noWrap/>
            <w:vAlign w:val="center"/>
          </w:tcPr>
          <w:p w14:paraId="26089341" w14:textId="43CC280E"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0.65</w:t>
            </w:r>
          </w:p>
        </w:tc>
        <w:tc>
          <w:tcPr>
            <w:tcW w:w="1287" w:type="dxa"/>
            <w:vAlign w:val="center"/>
          </w:tcPr>
          <w:p w14:paraId="53ADD54C" w14:textId="070455C9" w:rsidR="008B17ED" w:rsidRPr="00F33275" w:rsidRDefault="00834866" w:rsidP="00793F5C">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1.91</w:t>
            </w:r>
          </w:p>
        </w:tc>
        <w:tc>
          <w:tcPr>
            <w:tcW w:w="1287" w:type="dxa"/>
            <w:shd w:val="clear" w:color="auto" w:fill="auto"/>
            <w:noWrap/>
            <w:vAlign w:val="center"/>
          </w:tcPr>
          <w:p w14:paraId="3205F83C" w14:textId="4EF8EF29" w:rsidR="008B17ED" w:rsidRPr="00F33275" w:rsidRDefault="008B17ED" w:rsidP="0079253A">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w:t>
            </w:r>
            <w:r w:rsidR="0079253A" w:rsidRPr="00F33275">
              <w:rPr>
                <w:rFonts w:asciiTheme="minorHAnsi" w:hAnsiTheme="minorHAnsi" w:cstheme="minorHAnsi"/>
                <w:color w:val="000000" w:themeColor="text1"/>
                <w:sz w:val="18"/>
                <w:szCs w:val="18"/>
                <w:lang w:eastAsia="en-GB"/>
              </w:rPr>
              <w:t>.39</w:t>
            </w:r>
          </w:p>
        </w:tc>
      </w:tr>
      <w:tr w:rsidR="008B17ED" w:rsidRPr="00305342" w14:paraId="45DEC84E" w14:textId="77777777" w:rsidTr="00F33275">
        <w:trPr>
          <w:trHeight w:val="360"/>
          <w:jc w:val="center"/>
        </w:trPr>
        <w:tc>
          <w:tcPr>
            <w:tcW w:w="1839" w:type="dxa"/>
            <w:shd w:val="clear" w:color="000000" w:fill="FFFFFF"/>
            <w:noWrap/>
            <w:vAlign w:val="center"/>
          </w:tcPr>
          <w:p w14:paraId="651CA506" w14:textId="77777777" w:rsidR="008B17ED" w:rsidRPr="00F33275" w:rsidRDefault="008B17ED"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Accounts Receivable Days</w:t>
            </w:r>
          </w:p>
        </w:tc>
        <w:tc>
          <w:tcPr>
            <w:tcW w:w="1286" w:type="dxa"/>
            <w:vAlign w:val="center"/>
          </w:tcPr>
          <w:p w14:paraId="16F3D30A" w14:textId="6020D161"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 38</w:t>
            </w:r>
          </w:p>
        </w:tc>
        <w:tc>
          <w:tcPr>
            <w:tcW w:w="1287" w:type="dxa"/>
            <w:vAlign w:val="center"/>
          </w:tcPr>
          <w:p w14:paraId="22F3E3C7" w14:textId="296F4DCD"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29 </w:t>
            </w:r>
          </w:p>
        </w:tc>
        <w:tc>
          <w:tcPr>
            <w:tcW w:w="1287" w:type="dxa"/>
            <w:shd w:val="clear" w:color="auto" w:fill="auto"/>
            <w:noWrap/>
            <w:vAlign w:val="center"/>
          </w:tcPr>
          <w:p w14:paraId="0176052A" w14:textId="1399CA01"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17</w:t>
            </w:r>
          </w:p>
        </w:tc>
        <w:tc>
          <w:tcPr>
            <w:tcW w:w="1287" w:type="dxa"/>
            <w:vAlign w:val="center"/>
          </w:tcPr>
          <w:p w14:paraId="04A2A652" w14:textId="4C5BBC30" w:rsidR="008B17ED" w:rsidRPr="00F33275" w:rsidRDefault="00834866" w:rsidP="00793F5C">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9</w:t>
            </w:r>
          </w:p>
        </w:tc>
        <w:tc>
          <w:tcPr>
            <w:tcW w:w="1287" w:type="dxa"/>
            <w:shd w:val="clear" w:color="auto" w:fill="auto"/>
            <w:noWrap/>
            <w:vAlign w:val="center"/>
          </w:tcPr>
          <w:p w14:paraId="27B0D4C1" w14:textId="20E01100" w:rsidR="008B17ED" w:rsidRPr="00F33275" w:rsidRDefault="0079253A"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23</w:t>
            </w:r>
          </w:p>
        </w:tc>
      </w:tr>
      <w:tr w:rsidR="008B17ED" w:rsidRPr="00305342" w14:paraId="30A73022" w14:textId="77777777" w:rsidTr="00F33275">
        <w:trPr>
          <w:trHeight w:val="360"/>
          <w:jc w:val="center"/>
        </w:trPr>
        <w:tc>
          <w:tcPr>
            <w:tcW w:w="1839" w:type="dxa"/>
            <w:shd w:val="clear" w:color="000000" w:fill="FFFFFF"/>
            <w:noWrap/>
            <w:vAlign w:val="center"/>
          </w:tcPr>
          <w:p w14:paraId="0EB735AA" w14:textId="77777777" w:rsidR="008B17ED" w:rsidRPr="00F33275" w:rsidRDefault="008B17ED"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Assets Turnover</w:t>
            </w:r>
          </w:p>
        </w:tc>
        <w:tc>
          <w:tcPr>
            <w:tcW w:w="1286" w:type="dxa"/>
            <w:vAlign w:val="center"/>
          </w:tcPr>
          <w:p w14:paraId="259263F8" w14:textId="64617014"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1.06</w:t>
            </w:r>
          </w:p>
        </w:tc>
        <w:tc>
          <w:tcPr>
            <w:tcW w:w="1287" w:type="dxa"/>
            <w:vAlign w:val="center"/>
          </w:tcPr>
          <w:p w14:paraId="7C11F72F" w14:textId="5548C464"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0.92</w:t>
            </w:r>
          </w:p>
        </w:tc>
        <w:tc>
          <w:tcPr>
            <w:tcW w:w="1287" w:type="dxa"/>
            <w:shd w:val="clear" w:color="auto" w:fill="auto"/>
            <w:noWrap/>
            <w:vAlign w:val="center"/>
          </w:tcPr>
          <w:p w14:paraId="5844BAF6" w14:textId="075EEEB2"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0.79</w:t>
            </w:r>
          </w:p>
        </w:tc>
        <w:tc>
          <w:tcPr>
            <w:tcW w:w="1287" w:type="dxa"/>
            <w:vAlign w:val="center"/>
          </w:tcPr>
          <w:p w14:paraId="3818829D" w14:textId="764F51CE" w:rsidR="008B17ED" w:rsidRPr="00F33275" w:rsidRDefault="00834866" w:rsidP="00793F5C">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0.72</w:t>
            </w:r>
          </w:p>
        </w:tc>
        <w:tc>
          <w:tcPr>
            <w:tcW w:w="1287" w:type="dxa"/>
            <w:shd w:val="clear" w:color="auto" w:fill="auto"/>
            <w:noWrap/>
            <w:vAlign w:val="center"/>
          </w:tcPr>
          <w:p w14:paraId="5FC556FE" w14:textId="40E15E01" w:rsidR="008B17ED" w:rsidRPr="00F33275" w:rsidRDefault="008B17ED" w:rsidP="0079253A">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w:t>
            </w:r>
            <w:r w:rsidR="0079253A" w:rsidRPr="00F33275">
              <w:rPr>
                <w:rFonts w:asciiTheme="minorHAnsi" w:hAnsiTheme="minorHAnsi" w:cstheme="minorHAnsi"/>
                <w:color w:val="000000" w:themeColor="text1"/>
                <w:sz w:val="18"/>
                <w:szCs w:val="18"/>
                <w:lang w:eastAsia="en-GB"/>
              </w:rPr>
              <w:t>87</w:t>
            </w:r>
          </w:p>
        </w:tc>
      </w:tr>
      <w:tr w:rsidR="008B17ED" w:rsidRPr="00305342" w14:paraId="217AD39B" w14:textId="77777777" w:rsidTr="00F33275">
        <w:trPr>
          <w:trHeight w:val="360"/>
          <w:jc w:val="center"/>
        </w:trPr>
        <w:tc>
          <w:tcPr>
            <w:tcW w:w="1839" w:type="dxa"/>
            <w:shd w:val="clear" w:color="000000" w:fill="FFFFFF"/>
            <w:noWrap/>
            <w:vAlign w:val="center"/>
            <w:hideMark/>
          </w:tcPr>
          <w:p w14:paraId="18EE445F" w14:textId="77777777" w:rsidR="008B17ED" w:rsidRPr="00F33275" w:rsidRDefault="008B17ED"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lastRenderedPageBreak/>
              <w:t>Debt / Equity Ratio</w:t>
            </w:r>
          </w:p>
        </w:tc>
        <w:tc>
          <w:tcPr>
            <w:tcW w:w="1286" w:type="dxa"/>
            <w:vAlign w:val="center"/>
          </w:tcPr>
          <w:p w14:paraId="07C1B6F3" w14:textId="3B0FD9FC" w:rsidR="008B17ED" w:rsidRPr="00F33275" w:rsidRDefault="008B17ED" w:rsidP="005A1DD4">
            <w:pPr>
              <w:jc w:val="right"/>
              <w:rPr>
                <w:rFonts w:asciiTheme="minorHAnsi" w:hAnsiTheme="minorHAnsi" w:cstheme="minorHAnsi"/>
                <w:color w:val="FF0000"/>
                <w:sz w:val="18"/>
                <w:szCs w:val="18"/>
                <w:lang w:eastAsia="en-GB"/>
              </w:rPr>
            </w:pPr>
            <w:r w:rsidRPr="00F33275">
              <w:rPr>
                <w:rFonts w:asciiTheme="minorHAnsi" w:hAnsiTheme="minorHAnsi" w:cstheme="minorHAnsi"/>
                <w:color w:val="000000" w:themeColor="text1"/>
                <w:sz w:val="18"/>
                <w:szCs w:val="18"/>
                <w:lang w:eastAsia="en-GB"/>
              </w:rPr>
              <w:t xml:space="preserve">0.09 </w:t>
            </w:r>
          </w:p>
        </w:tc>
        <w:tc>
          <w:tcPr>
            <w:tcW w:w="1287" w:type="dxa"/>
            <w:vAlign w:val="center"/>
          </w:tcPr>
          <w:p w14:paraId="2D9431DD" w14:textId="49FE3D03" w:rsidR="008B17ED" w:rsidRPr="00F33275" w:rsidRDefault="008B17ED" w:rsidP="00582DEE">
            <w:pPr>
              <w:jc w:val="right"/>
              <w:rPr>
                <w:rFonts w:asciiTheme="minorHAnsi" w:hAnsiTheme="minorHAnsi" w:cstheme="minorHAnsi"/>
                <w:color w:val="FF0000"/>
                <w:sz w:val="18"/>
                <w:szCs w:val="18"/>
                <w:lang w:eastAsia="en-GB"/>
              </w:rPr>
            </w:pPr>
            <w:r w:rsidRPr="00F33275">
              <w:rPr>
                <w:rFonts w:asciiTheme="minorHAnsi" w:hAnsiTheme="minorHAnsi" w:cstheme="minorHAnsi"/>
                <w:color w:val="000000" w:themeColor="text1"/>
                <w:sz w:val="18"/>
                <w:szCs w:val="18"/>
                <w:lang w:eastAsia="en-GB"/>
              </w:rPr>
              <w:t xml:space="preserve"> 0.04</w:t>
            </w:r>
          </w:p>
        </w:tc>
        <w:tc>
          <w:tcPr>
            <w:tcW w:w="1287" w:type="dxa"/>
            <w:shd w:val="clear" w:color="auto" w:fill="auto"/>
            <w:noWrap/>
            <w:vAlign w:val="center"/>
          </w:tcPr>
          <w:p w14:paraId="2949BDDC" w14:textId="1F01496B" w:rsidR="008B17ED" w:rsidRPr="00F33275" w:rsidRDefault="008B17ED"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0.01</w:t>
            </w:r>
          </w:p>
        </w:tc>
        <w:tc>
          <w:tcPr>
            <w:tcW w:w="1287" w:type="dxa"/>
            <w:vAlign w:val="center"/>
          </w:tcPr>
          <w:p w14:paraId="7C8D2FAF" w14:textId="5C0239E7" w:rsidR="008B17ED" w:rsidRPr="00F33275" w:rsidRDefault="00834866" w:rsidP="00793F5C">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0.07</w:t>
            </w:r>
          </w:p>
        </w:tc>
        <w:tc>
          <w:tcPr>
            <w:tcW w:w="1287" w:type="dxa"/>
            <w:shd w:val="clear" w:color="auto" w:fill="auto"/>
            <w:noWrap/>
            <w:vAlign w:val="center"/>
            <w:hideMark/>
          </w:tcPr>
          <w:p w14:paraId="0D055AD8" w14:textId="0AE2FBC5" w:rsidR="008B17ED" w:rsidRPr="00F33275" w:rsidRDefault="008B17ED" w:rsidP="0079253A">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w:t>
            </w:r>
            <w:r w:rsidR="0079253A" w:rsidRPr="00F33275">
              <w:rPr>
                <w:rFonts w:asciiTheme="minorHAnsi" w:hAnsiTheme="minorHAnsi" w:cstheme="minorHAnsi"/>
                <w:color w:val="000000" w:themeColor="text1"/>
                <w:sz w:val="18"/>
                <w:szCs w:val="18"/>
                <w:lang w:eastAsia="en-GB"/>
              </w:rPr>
              <w:t>05</w:t>
            </w:r>
          </w:p>
        </w:tc>
      </w:tr>
    </w:tbl>
    <w:p w14:paraId="34EC8308" w14:textId="4AAF8E3B" w:rsidR="00E65A9F" w:rsidRDefault="00E65A9F" w:rsidP="00936AE2">
      <w:pPr>
        <w:rPr>
          <w:rFonts w:asciiTheme="minorHAnsi" w:hAnsiTheme="minorHAnsi"/>
        </w:rPr>
      </w:pPr>
      <w:r w:rsidRPr="00D25BE7">
        <w:rPr>
          <w:rFonts w:asciiTheme="minorHAnsi" w:hAnsiTheme="minorHAnsi"/>
        </w:rPr>
        <w:t xml:space="preserve"> </w:t>
      </w:r>
    </w:p>
    <w:p w14:paraId="42475E3F" w14:textId="08693B46" w:rsidR="0024202E" w:rsidRPr="00B74536" w:rsidRDefault="0024202E" w:rsidP="00B74536">
      <w:pPr>
        <w:pStyle w:val="ListParagraph"/>
        <w:spacing w:after="120"/>
        <w:ind w:left="567" w:hanging="567"/>
        <w:rPr>
          <w:rFonts w:asciiTheme="minorHAnsi" w:hAnsiTheme="minorHAnsi"/>
        </w:rPr>
      </w:pPr>
      <w:proofErr w:type="spellStart"/>
      <w:r w:rsidRPr="00D25BE7">
        <w:rPr>
          <w:rFonts w:asciiTheme="minorHAnsi" w:hAnsiTheme="minorHAnsi"/>
          <w:lang w:val="en-GB"/>
        </w:rPr>
        <w:t>Letseng</w:t>
      </w:r>
      <w:r w:rsidR="00A32E68">
        <w:rPr>
          <w:rFonts w:asciiTheme="minorHAnsi" w:hAnsiTheme="minorHAnsi"/>
          <w:lang w:val="en-GB"/>
        </w:rPr>
        <w:t>’s</w:t>
      </w:r>
      <w:proofErr w:type="spellEnd"/>
      <w:r w:rsidR="00A32E68">
        <w:rPr>
          <w:rFonts w:asciiTheme="minorHAnsi" w:hAnsiTheme="minorHAnsi"/>
          <w:lang w:val="en-GB"/>
        </w:rPr>
        <w:t xml:space="preserve"> </w:t>
      </w:r>
      <w:r w:rsidR="009F512B">
        <w:rPr>
          <w:rFonts w:asciiTheme="minorHAnsi" w:hAnsiTheme="minorHAnsi"/>
          <w:lang w:val="en-GB"/>
        </w:rPr>
        <w:t xml:space="preserve">2017/18 </w:t>
      </w:r>
      <w:r w:rsidR="00A32E68">
        <w:rPr>
          <w:rFonts w:asciiTheme="minorHAnsi" w:hAnsiTheme="minorHAnsi"/>
          <w:lang w:val="en-GB"/>
        </w:rPr>
        <w:t xml:space="preserve">revenue </w:t>
      </w:r>
      <w:r w:rsidRPr="00D25BE7">
        <w:rPr>
          <w:rFonts w:asciiTheme="minorHAnsi" w:hAnsiTheme="minorHAnsi"/>
          <w:lang w:val="en-GB"/>
        </w:rPr>
        <w:t xml:space="preserve"> </w:t>
      </w:r>
      <w:r w:rsidR="009F512B">
        <w:rPr>
          <w:rFonts w:asciiTheme="minorHAnsi" w:hAnsiTheme="minorHAnsi"/>
          <w:lang w:val="en-GB"/>
        </w:rPr>
        <w:t xml:space="preserve">has declined by 13.9% since 2015/16. More significantly this translates into a 51.6% reduction in tax payments to the government and 100% reduction in dividends to </w:t>
      </w:r>
      <w:r w:rsidR="00D04FA9">
        <w:rPr>
          <w:rFonts w:asciiTheme="minorHAnsi" w:hAnsiTheme="minorHAnsi"/>
          <w:lang w:val="en-GB"/>
        </w:rPr>
        <w:t>zero. Should this trend continue it will herald very uncertain times in terms of inflows to government.</w:t>
      </w:r>
    </w:p>
    <w:p w14:paraId="46F76CAE" w14:textId="77777777" w:rsidR="0024202E" w:rsidRPr="00D25BE7" w:rsidRDefault="0024202E" w:rsidP="00936AE2">
      <w:pPr>
        <w:rPr>
          <w:rFonts w:asciiTheme="minorHAnsi" w:hAnsiTheme="minorHAnsi"/>
          <w:color w:val="000000" w:themeColor="text1"/>
          <w:lang w:val="en-GB"/>
        </w:rPr>
      </w:pPr>
    </w:p>
    <w:p w14:paraId="09160DBB" w14:textId="49AA9D7E" w:rsidR="005C0781" w:rsidRPr="00D25BE7" w:rsidRDefault="005C0781" w:rsidP="005C0781">
      <w:pPr>
        <w:pStyle w:val="ListParagraph"/>
        <w:ind w:left="567" w:hanging="567"/>
        <w:rPr>
          <w:rFonts w:asciiTheme="minorHAnsi" w:hAnsiTheme="minorHAnsi"/>
          <w:lang w:val="en-GB"/>
        </w:rPr>
      </w:pPr>
      <w:r w:rsidRPr="00305342">
        <w:rPr>
          <w:rFonts w:asciiTheme="minorHAnsi" w:hAnsiTheme="minorHAnsi"/>
          <w:b/>
          <w:sz w:val="24"/>
          <w:szCs w:val="24"/>
          <w:lang w:val="en-GB"/>
        </w:rPr>
        <w:t>Econet (Telecom) Lesotho Pty Ltd</w:t>
      </w:r>
      <w:r w:rsidR="0018502B" w:rsidRPr="00305342">
        <w:rPr>
          <w:rFonts w:asciiTheme="minorHAnsi" w:hAnsiTheme="minorHAnsi"/>
          <w:b/>
          <w:sz w:val="24"/>
          <w:szCs w:val="24"/>
          <w:lang w:val="en-GB"/>
        </w:rPr>
        <w:t>.</w:t>
      </w:r>
      <w:r w:rsidRPr="00D25BE7">
        <w:rPr>
          <w:rFonts w:asciiTheme="minorHAnsi" w:hAnsiTheme="minorHAnsi"/>
          <w:b/>
          <w:u w:val="single"/>
          <w:lang w:val="en-GB"/>
        </w:rPr>
        <w:t xml:space="preserve"> </w:t>
      </w:r>
      <w:r w:rsidRPr="00D25BE7">
        <w:rPr>
          <w:rFonts w:asciiTheme="minorHAnsi" w:hAnsiTheme="minorHAnsi"/>
          <w:lang w:val="en-GB"/>
        </w:rPr>
        <w:t xml:space="preserve">Econet is 30% Government owned.  </w:t>
      </w:r>
      <w:r w:rsidR="00A70394">
        <w:rPr>
          <w:rFonts w:asciiTheme="minorHAnsi" w:hAnsiTheme="minorHAnsi"/>
          <w:lang w:val="en-GB"/>
        </w:rPr>
        <w:t xml:space="preserve">The other 70% is </w:t>
      </w:r>
      <w:r w:rsidR="00FD1360">
        <w:rPr>
          <w:rFonts w:asciiTheme="minorHAnsi" w:hAnsiTheme="minorHAnsi"/>
          <w:lang w:val="en-GB"/>
        </w:rPr>
        <w:t>owned by Mountain Communications (Pty) Ltd</w:t>
      </w:r>
      <w:r w:rsidR="00A706FC">
        <w:rPr>
          <w:rFonts w:asciiTheme="minorHAnsi" w:hAnsiTheme="minorHAnsi"/>
          <w:lang w:val="en-GB"/>
        </w:rPr>
        <w:t xml:space="preserve"> registered in Lesotho</w:t>
      </w:r>
      <w:r w:rsidR="00FD1360">
        <w:rPr>
          <w:rFonts w:asciiTheme="minorHAnsi" w:hAnsiTheme="minorHAnsi"/>
          <w:lang w:val="en-GB"/>
        </w:rPr>
        <w:t xml:space="preserve"> </w:t>
      </w:r>
      <w:r w:rsidR="00A706FC">
        <w:rPr>
          <w:rFonts w:asciiTheme="minorHAnsi" w:hAnsiTheme="minorHAnsi"/>
          <w:lang w:val="en-GB"/>
        </w:rPr>
        <w:t>(</w:t>
      </w:r>
      <w:r w:rsidR="00FD1360">
        <w:rPr>
          <w:rFonts w:asciiTheme="minorHAnsi" w:hAnsiTheme="minorHAnsi"/>
          <w:lang w:val="en-GB"/>
        </w:rPr>
        <w:t>also known as MKC</w:t>
      </w:r>
      <w:r w:rsidR="00A706FC">
        <w:rPr>
          <w:rFonts w:asciiTheme="minorHAnsi" w:hAnsiTheme="minorHAnsi"/>
          <w:lang w:val="en-GB"/>
        </w:rPr>
        <w:t>)</w:t>
      </w:r>
      <w:r w:rsidR="00FD1360">
        <w:rPr>
          <w:rFonts w:asciiTheme="minorHAnsi" w:hAnsiTheme="minorHAnsi"/>
          <w:lang w:val="en-GB"/>
        </w:rPr>
        <w:t>.</w:t>
      </w:r>
      <w:r w:rsidR="00A706FC">
        <w:rPr>
          <w:rFonts w:asciiTheme="minorHAnsi" w:hAnsiTheme="minorHAnsi"/>
          <w:lang w:val="en-GB"/>
        </w:rPr>
        <w:t xml:space="preserve"> MKC is in turn owned Econet Wireless Global which is ultimately owned by Econet Group Ltd in Mauritius.</w:t>
      </w:r>
    </w:p>
    <w:p w14:paraId="2E198152" w14:textId="7E82BFBC" w:rsidR="005C0781" w:rsidRPr="0079253A" w:rsidRDefault="005C0781" w:rsidP="005C0781">
      <w:pPr>
        <w:pStyle w:val="ListParagraph"/>
        <w:ind w:left="426" w:hanging="426"/>
        <w:rPr>
          <w:rFonts w:asciiTheme="minorHAnsi" w:hAnsiTheme="minorHAnsi"/>
          <w:color w:val="000000" w:themeColor="text1"/>
          <w:szCs w:val="22"/>
          <w:lang w:val="en-GB"/>
        </w:rPr>
      </w:pPr>
      <w:r w:rsidRPr="00D25BE7">
        <w:rPr>
          <w:rFonts w:asciiTheme="minorHAnsi" w:hAnsiTheme="minorHAnsi"/>
          <w:lang w:val="en-GB"/>
        </w:rPr>
        <w:t xml:space="preserve">The performance for </w:t>
      </w:r>
      <w:r w:rsidR="00137B00" w:rsidRPr="00D25BE7">
        <w:rPr>
          <w:rFonts w:asciiTheme="minorHAnsi" w:hAnsiTheme="minorHAnsi"/>
          <w:lang w:val="en-GB"/>
        </w:rPr>
        <w:t>Econet</w:t>
      </w:r>
      <w:r w:rsidRPr="00D25BE7">
        <w:rPr>
          <w:rFonts w:asciiTheme="minorHAnsi" w:hAnsiTheme="minorHAnsi"/>
          <w:lang w:val="en-GB"/>
        </w:rPr>
        <w:t xml:space="preserve"> is </w:t>
      </w:r>
      <w:r w:rsidR="000A5A54" w:rsidRPr="00D25BE7">
        <w:rPr>
          <w:rFonts w:asciiTheme="minorHAnsi" w:hAnsiTheme="minorHAnsi"/>
          <w:lang w:val="en-GB"/>
        </w:rPr>
        <w:t xml:space="preserve">a cause for great concern. After several years of small profits, the last four years have been losses, the only positive being a slight and then increasing reduction in the loss in the most recent years. </w:t>
      </w:r>
      <w:r w:rsidR="004D3687" w:rsidRPr="00D25BE7">
        <w:rPr>
          <w:rFonts w:asciiTheme="minorHAnsi" w:hAnsiTheme="minorHAnsi"/>
          <w:lang w:val="en-GB"/>
        </w:rPr>
        <w:t>Econet has a substantial investment in assets, mostly in physical assets. Revenue has been fairly stagnant with only modest growth over the last 8 to 10 years. This is suggestive of an entity burdened by unproductive or old assets in a fast moving, rapidly changing environment. More information is needed to assess the risks involved including a break-down of market share and proportion of revenues from different sectors. Mobile and data are the key areas of potential growth but also competitiveness and Government needs to closely monitor Econet plans and prospects in light of the significant investment tied-up in physical equipment.</w:t>
      </w:r>
    </w:p>
    <w:p w14:paraId="66EBD800" w14:textId="3B917954" w:rsidR="005C0781" w:rsidRPr="00713392" w:rsidRDefault="00261E44" w:rsidP="00713392">
      <w:pPr>
        <w:pStyle w:val="ListParagraph"/>
        <w:ind w:left="426" w:hanging="426"/>
        <w:rPr>
          <w:rFonts w:asciiTheme="minorHAnsi" w:hAnsiTheme="minorHAnsi"/>
          <w:color w:val="000000" w:themeColor="text1"/>
          <w:szCs w:val="22"/>
          <w:lang w:val="en-GB"/>
        </w:rPr>
      </w:pPr>
      <w:r>
        <w:rPr>
          <w:rFonts w:asciiTheme="minorHAnsi" w:hAnsiTheme="minorHAnsi"/>
          <w:lang w:val="en-GB"/>
        </w:rPr>
        <w:t>Despite repeated requests Econet has failed to provide PSD with a copy of its AFS for 2017/18</w:t>
      </w:r>
      <w:r w:rsidR="00954FEA">
        <w:rPr>
          <w:rFonts w:asciiTheme="minorHAnsi" w:hAnsiTheme="minorHAnsi"/>
          <w:lang w:val="en-GB"/>
        </w:rPr>
        <w:t xml:space="preserve"> so it is not possible to provide a more up-to-date analysis of the company. </w:t>
      </w:r>
    </w:p>
    <w:p w14:paraId="00CA5FEE" w14:textId="56E85E4F" w:rsidR="005C0781" w:rsidRPr="00D25BE7" w:rsidRDefault="005C0781" w:rsidP="005C0781">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Relevant performance data for FY’1</w:t>
      </w:r>
      <w:r w:rsidR="0018502B">
        <w:rPr>
          <w:rFonts w:asciiTheme="minorHAnsi" w:hAnsiTheme="minorHAnsi"/>
          <w:color w:val="000000" w:themeColor="text1"/>
          <w:lang w:val="en-GB"/>
        </w:rPr>
        <w:t>8</w:t>
      </w:r>
      <w:r w:rsidRPr="00D25BE7">
        <w:rPr>
          <w:rFonts w:asciiTheme="minorHAnsi" w:hAnsiTheme="minorHAnsi"/>
          <w:color w:val="000000" w:themeColor="text1"/>
          <w:lang w:val="en-GB"/>
        </w:rPr>
        <w:t xml:space="preserve"> is:</w:t>
      </w:r>
    </w:p>
    <w:p w14:paraId="6ECEDE76" w14:textId="2B76F1E3" w:rsidR="005C0781" w:rsidRPr="005D564C" w:rsidRDefault="005C0781" w:rsidP="005C0781">
      <w:pPr>
        <w:rPr>
          <w:rFonts w:asciiTheme="minorHAnsi" w:hAnsiTheme="minorHAnsi"/>
          <w:b/>
          <w:sz w:val="20"/>
          <w:lang w:val="en-GB"/>
        </w:rPr>
      </w:pPr>
      <w:r w:rsidRPr="00713392">
        <w:rPr>
          <w:rFonts w:asciiTheme="minorHAnsi" w:hAnsiTheme="minorHAnsi"/>
          <w:b/>
          <w:sz w:val="20"/>
          <w:lang w:val="en-GB"/>
        </w:rPr>
        <w:t xml:space="preserve">Table </w:t>
      </w:r>
      <w:r w:rsidR="00792553" w:rsidRPr="00713392">
        <w:rPr>
          <w:rFonts w:asciiTheme="minorHAnsi" w:hAnsiTheme="minorHAnsi"/>
          <w:b/>
          <w:sz w:val="20"/>
          <w:lang w:val="en-GB"/>
        </w:rPr>
        <w:t>2</w:t>
      </w:r>
      <w:r w:rsidR="0018502B" w:rsidRPr="00713392">
        <w:rPr>
          <w:rFonts w:asciiTheme="minorHAnsi" w:hAnsiTheme="minorHAnsi"/>
          <w:b/>
          <w:sz w:val="20"/>
          <w:lang w:val="en-GB"/>
        </w:rPr>
        <w:t>4</w:t>
      </w:r>
      <w:r w:rsidRPr="00713392">
        <w:rPr>
          <w:rFonts w:asciiTheme="minorHAnsi" w:hAnsiTheme="minorHAnsi"/>
          <w:b/>
          <w:sz w:val="20"/>
          <w:lang w:val="en-GB"/>
        </w:rPr>
        <w:t>:</w:t>
      </w:r>
      <w:r w:rsidRPr="0018502B">
        <w:rPr>
          <w:rFonts w:asciiTheme="minorHAnsi" w:hAnsiTheme="minorHAnsi"/>
          <w:b/>
          <w:sz w:val="20"/>
          <w:lang w:val="en-GB"/>
        </w:rPr>
        <w:t xml:space="preserve"> Performance</w:t>
      </w:r>
      <w:r w:rsidRPr="005D564C">
        <w:rPr>
          <w:rFonts w:asciiTheme="minorHAnsi" w:hAnsiTheme="minorHAnsi"/>
          <w:b/>
          <w:sz w:val="20"/>
          <w:lang w:val="en-GB"/>
        </w:rPr>
        <w:t xml:space="preserve"> Highlights – </w:t>
      </w:r>
      <w:r w:rsidR="00840A01" w:rsidRPr="005D564C">
        <w:rPr>
          <w:rFonts w:asciiTheme="minorHAnsi" w:hAnsiTheme="minorHAnsi"/>
          <w:b/>
          <w:sz w:val="20"/>
          <w:lang w:val="en-GB"/>
        </w:rPr>
        <w:t>Econet</w:t>
      </w:r>
    </w:p>
    <w:p w14:paraId="29F2DD77" w14:textId="77777777" w:rsidR="003B2220" w:rsidRPr="00D25BE7" w:rsidRDefault="003B2220" w:rsidP="005C0781">
      <w:pPr>
        <w:rPr>
          <w:rFonts w:asciiTheme="minorHAnsi" w:hAnsiTheme="minorHAnsi"/>
          <w:sz w:val="18"/>
          <w:szCs w:val="18"/>
          <w:lang w:val="en-GB"/>
        </w:rPr>
      </w:pPr>
    </w:p>
    <w:tbl>
      <w:tblPr>
        <w:tblW w:w="8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1286"/>
        <w:gridCol w:w="1287"/>
        <w:gridCol w:w="1287"/>
        <w:gridCol w:w="1287"/>
        <w:gridCol w:w="1287"/>
      </w:tblGrid>
      <w:tr w:rsidR="009B52FB" w:rsidRPr="00F33275" w14:paraId="572FA0C7" w14:textId="77777777" w:rsidTr="00F33275">
        <w:trPr>
          <w:trHeight w:val="360"/>
          <w:jc w:val="center"/>
        </w:trPr>
        <w:tc>
          <w:tcPr>
            <w:tcW w:w="2081" w:type="dxa"/>
            <w:shd w:val="clear" w:color="auto" w:fill="D9D9D9" w:themeFill="background1" w:themeFillShade="D9"/>
            <w:noWrap/>
            <w:vAlign w:val="center"/>
            <w:hideMark/>
          </w:tcPr>
          <w:p w14:paraId="11394D22" w14:textId="77777777" w:rsidR="009B52FB" w:rsidRPr="00F33275" w:rsidRDefault="009B52FB" w:rsidP="005A1DD4">
            <w:pPr>
              <w:ind w:firstLine="42"/>
              <w:rPr>
                <w:rFonts w:asciiTheme="minorHAnsi" w:hAnsiTheme="minorHAnsi"/>
                <w:sz w:val="18"/>
                <w:szCs w:val="18"/>
                <w:lang w:eastAsia="en-GB"/>
              </w:rPr>
            </w:pPr>
            <w:r w:rsidRPr="00F33275">
              <w:rPr>
                <w:rFonts w:asciiTheme="minorHAnsi" w:hAnsiTheme="minorHAnsi"/>
                <w:sz w:val="18"/>
                <w:szCs w:val="18"/>
                <w:lang w:eastAsia="en-GB"/>
              </w:rPr>
              <w:t>Performance Highlights (M '000)</w:t>
            </w:r>
          </w:p>
        </w:tc>
        <w:tc>
          <w:tcPr>
            <w:tcW w:w="1286" w:type="dxa"/>
            <w:shd w:val="clear" w:color="auto" w:fill="D9D9D9" w:themeFill="background1" w:themeFillShade="D9"/>
            <w:vAlign w:val="center"/>
          </w:tcPr>
          <w:p w14:paraId="5E50BE88" w14:textId="77777777" w:rsidR="009B52FB" w:rsidRPr="00F33275" w:rsidRDefault="009B52FB" w:rsidP="005A1DD4">
            <w:pPr>
              <w:jc w:val="center"/>
              <w:rPr>
                <w:rFonts w:asciiTheme="minorHAnsi" w:hAnsiTheme="minorHAnsi" w:cstheme="minorHAnsi"/>
                <w:b/>
                <w:bCs/>
                <w:color w:val="000000"/>
                <w:sz w:val="18"/>
                <w:szCs w:val="18"/>
                <w:lang w:eastAsia="en-GB"/>
              </w:rPr>
            </w:pPr>
            <w:r w:rsidRPr="00F33275">
              <w:rPr>
                <w:rFonts w:asciiTheme="minorHAnsi" w:hAnsiTheme="minorHAnsi" w:cstheme="minorHAnsi"/>
                <w:b/>
                <w:bCs/>
                <w:sz w:val="18"/>
                <w:szCs w:val="18"/>
                <w:lang w:eastAsia="en-GB"/>
              </w:rPr>
              <w:t>2014/15</w:t>
            </w:r>
          </w:p>
        </w:tc>
        <w:tc>
          <w:tcPr>
            <w:tcW w:w="1287" w:type="dxa"/>
            <w:shd w:val="clear" w:color="auto" w:fill="D9D9D9" w:themeFill="background1" w:themeFillShade="D9"/>
            <w:vAlign w:val="center"/>
          </w:tcPr>
          <w:p w14:paraId="5AAA558D" w14:textId="77777777" w:rsidR="009B52FB" w:rsidRPr="00F33275" w:rsidRDefault="009B52FB" w:rsidP="005A1DD4">
            <w:pPr>
              <w:jc w:val="center"/>
              <w:rPr>
                <w:rFonts w:asciiTheme="minorHAnsi" w:hAnsiTheme="minorHAnsi" w:cstheme="minorHAnsi"/>
                <w:b/>
                <w:bCs/>
                <w:color w:val="000000"/>
                <w:sz w:val="18"/>
                <w:szCs w:val="18"/>
                <w:lang w:eastAsia="en-GB"/>
              </w:rPr>
            </w:pPr>
            <w:r w:rsidRPr="00F33275">
              <w:rPr>
                <w:rFonts w:asciiTheme="minorHAnsi" w:hAnsiTheme="minorHAnsi" w:cstheme="minorHAnsi"/>
                <w:b/>
                <w:bCs/>
                <w:sz w:val="18"/>
                <w:szCs w:val="18"/>
                <w:lang w:eastAsia="en-GB"/>
              </w:rPr>
              <w:t>2015/16</w:t>
            </w:r>
          </w:p>
        </w:tc>
        <w:tc>
          <w:tcPr>
            <w:tcW w:w="1287" w:type="dxa"/>
            <w:shd w:val="clear" w:color="auto" w:fill="D9D9D9" w:themeFill="background1" w:themeFillShade="D9"/>
            <w:vAlign w:val="center"/>
            <w:hideMark/>
          </w:tcPr>
          <w:p w14:paraId="53A0DC83" w14:textId="77777777" w:rsidR="009B52FB" w:rsidRPr="00F33275" w:rsidRDefault="009B52FB" w:rsidP="005A1DD4">
            <w:pPr>
              <w:jc w:val="center"/>
              <w:rPr>
                <w:rFonts w:asciiTheme="minorHAnsi" w:hAnsiTheme="minorHAnsi" w:cstheme="minorHAnsi"/>
                <w:b/>
                <w:bCs/>
                <w:sz w:val="18"/>
                <w:szCs w:val="18"/>
                <w:lang w:eastAsia="en-GB"/>
              </w:rPr>
            </w:pPr>
            <w:r w:rsidRPr="00F33275">
              <w:rPr>
                <w:rFonts w:asciiTheme="minorHAnsi" w:hAnsiTheme="minorHAnsi" w:cstheme="minorHAnsi"/>
                <w:b/>
                <w:bCs/>
                <w:sz w:val="18"/>
                <w:szCs w:val="18"/>
                <w:lang w:eastAsia="en-GB"/>
              </w:rPr>
              <w:t>2016/17</w:t>
            </w:r>
          </w:p>
        </w:tc>
        <w:tc>
          <w:tcPr>
            <w:tcW w:w="1287" w:type="dxa"/>
            <w:shd w:val="clear" w:color="auto" w:fill="D9D9D9" w:themeFill="background1" w:themeFillShade="D9"/>
            <w:vAlign w:val="center"/>
          </w:tcPr>
          <w:p w14:paraId="44C23EB0" w14:textId="451E7C59" w:rsidR="009B52FB" w:rsidRPr="00F33275" w:rsidRDefault="009B52FB" w:rsidP="005A1DD4">
            <w:pPr>
              <w:jc w:val="center"/>
              <w:rPr>
                <w:rFonts w:asciiTheme="minorHAnsi" w:hAnsiTheme="minorHAnsi" w:cstheme="minorHAnsi"/>
                <w:b/>
                <w:bCs/>
                <w:color w:val="000000"/>
                <w:sz w:val="18"/>
                <w:szCs w:val="18"/>
                <w:lang w:eastAsia="en-GB"/>
              </w:rPr>
            </w:pPr>
            <w:r w:rsidRPr="00F33275">
              <w:rPr>
                <w:rFonts w:asciiTheme="minorHAnsi" w:hAnsiTheme="minorHAnsi" w:cstheme="minorHAnsi"/>
                <w:b/>
                <w:bCs/>
                <w:sz w:val="18"/>
                <w:szCs w:val="18"/>
                <w:lang w:eastAsia="en-GB"/>
              </w:rPr>
              <w:t>2017/18</w:t>
            </w:r>
          </w:p>
        </w:tc>
        <w:tc>
          <w:tcPr>
            <w:tcW w:w="1287" w:type="dxa"/>
            <w:shd w:val="clear" w:color="auto" w:fill="D9D9D9" w:themeFill="background1" w:themeFillShade="D9"/>
            <w:noWrap/>
            <w:vAlign w:val="center"/>
            <w:hideMark/>
          </w:tcPr>
          <w:p w14:paraId="5D3862B5" w14:textId="24FF665E" w:rsidR="009B52FB" w:rsidRPr="00F33275" w:rsidRDefault="003B2220" w:rsidP="005A1DD4">
            <w:pPr>
              <w:jc w:val="center"/>
              <w:rPr>
                <w:rFonts w:asciiTheme="minorHAnsi" w:hAnsiTheme="minorHAnsi" w:cstheme="minorHAnsi"/>
                <w:b/>
                <w:bCs/>
                <w:color w:val="000000"/>
                <w:sz w:val="18"/>
                <w:szCs w:val="18"/>
                <w:lang w:eastAsia="en-GB"/>
              </w:rPr>
            </w:pPr>
            <w:r w:rsidRPr="00F33275">
              <w:rPr>
                <w:rFonts w:asciiTheme="minorHAnsi" w:hAnsiTheme="minorHAnsi" w:cstheme="minorHAnsi"/>
                <w:b/>
                <w:bCs/>
                <w:color w:val="000000"/>
                <w:sz w:val="18"/>
                <w:szCs w:val="18"/>
                <w:lang w:eastAsia="en-GB"/>
              </w:rPr>
              <w:t>3</w:t>
            </w:r>
            <w:r w:rsidR="009B52FB" w:rsidRPr="00F33275">
              <w:rPr>
                <w:rFonts w:asciiTheme="minorHAnsi" w:hAnsiTheme="minorHAnsi" w:cstheme="minorHAnsi"/>
                <w:b/>
                <w:bCs/>
                <w:color w:val="000000"/>
                <w:sz w:val="18"/>
                <w:szCs w:val="18"/>
                <w:lang w:eastAsia="en-GB"/>
              </w:rPr>
              <w:t>-yr Average</w:t>
            </w:r>
          </w:p>
        </w:tc>
      </w:tr>
      <w:tr w:rsidR="009B52FB" w:rsidRPr="00F33275" w14:paraId="43A00D46" w14:textId="77777777" w:rsidTr="00F33275">
        <w:trPr>
          <w:trHeight w:val="360"/>
          <w:jc w:val="center"/>
        </w:trPr>
        <w:tc>
          <w:tcPr>
            <w:tcW w:w="2081" w:type="dxa"/>
            <w:shd w:val="clear" w:color="000000" w:fill="FFFFFF"/>
            <w:noWrap/>
            <w:vAlign w:val="center"/>
            <w:hideMark/>
          </w:tcPr>
          <w:p w14:paraId="5937E921"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Total Revenue</w:t>
            </w:r>
          </w:p>
        </w:tc>
        <w:tc>
          <w:tcPr>
            <w:tcW w:w="1286" w:type="dxa"/>
            <w:vAlign w:val="center"/>
          </w:tcPr>
          <w:p w14:paraId="50F773F9" w14:textId="7DF4A789"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390,486</w:t>
            </w:r>
          </w:p>
        </w:tc>
        <w:tc>
          <w:tcPr>
            <w:tcW w:w="1287" w:type="dxa"/>
            <w:vAlign w:val="center"/>
          </w:tcPr>
          <w:p w14:paraId="40290142" w14:textId="0C3782F0"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439,982</w:t>
            </w:r>
          </w:p>
        </w:tc>
        <w:tc>
          <w:tcPr>
            <w:tcW w:w="1287" w:type="dxa"/>
            <w:shd w:val="clear" w:color="auto" w:fill="auto"/>
            <w:noWrap/>
            <w:vAlign w:val="center"/>
            <w:hideMark/>
          </w:tcPr>
          <w:p w14:paraId="002206BD" w14:textId="34EDBA4C"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437,474</w:t>
            </w:r>
          </w:p>
        </w:tc>
        <w:tc>
          <w:tcPr>
            <w:tcW w:w="1287" w:type="dxa"/>
          </w:tcPr>
          <w:p w14:paraId="71FDBD64" w14:textId="77777777" w:rsidR="009B52FB" w:rsidRPr="00F33275" w:rsidRDefault="009B52FB"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34693842" w14:textId="6AEBC552"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422,647</w:t>
            </w:r>
          </w:p>
        </w:tc>
      </w:tr>
      <w:tr w:rsidR="009B52FB" w:rsidRPr="00F33275" w14:paraId="3A84E65D" w14:textId="77777777" w:rsidTr="00F33275">
        <w:trPr>
          <w:trHeight w:val="360"/>
          <w:jc w:val="center"/>
        </w:trPr>
        <w:tc>
          <w:tcPr>
            <w:tcW w:w="2081" w:type="dxa"/>
            <w:shd w:val="clear" w:color="000000" w:fill="FFFFFF"/>
            <w:noWrap/>
            <w:vAlign w:val="center"/>
            <w:hideMark/>
          </w:tcPr>
          <w:p w14:paraId="6E2A21B9"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Net Operating Profit After Tax</w:t>
            </w:r>
          </w:p>
        </w:tc>
        <w:tc>
          <w:tcPr>
            <w:tcW w:w="1286" w:type="dxa"/>
            <w:vAlign w:val="center"/>
          </w:tcPr>
          <w:p w14:paraId="615CBA9B" w14:textId="7AC024A0"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(59,177)</w:t>
            </w:r>
          </w:p>
        </w:tc>
        <w:tc>
          <w:tcPr>
            <w:tcW w:w="1287" w:type="dxa"/>
            <w:vAlign w:val="center"/>
          </w:tcPr>
          <w:p w14:paraId="3D6FA4A6" w14:textId="33B14D46"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(53,872)</w:t>
            </w:r>
          </w:p>
        </w:tc>
        <w:tc>
          <w:tcPr>
            <w:tcW w:w="1287" w:type="dxa"/>
            <w:shd w:val="clear" w:color="auto" w:fill="auto"/>
            <w:noWrap/>
            <w:vAlign w:val="center"/>
            <w:hideMark/>
          </w:tcPr>
          <w:p w14:paraId="7F0C540F" w14:textId="2DDB6CD4"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(29,118)</w:t>
            </w:r>
          </w:p>
        </w:tc>
        <w:tc>
          <w:tcPr>
            <w:tcW w:w="1287" w:type="dxa"/>
          </w:tcPr>
          <w:p w14:paraId="73AFA190" w14:textId="77777777" w:rsidR="009B52FB" w:rsidRPr="00F33275" w:rsidRDefault="009B52FB"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1701C8E6" w14:textId="2E57A708"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(47,389)</w:t>
            </w:r>
          </w:p>
        </w:tc>
      </w:tr>
      <w:tr w:rsidR="009B52FB" w:rsidRPr="00F33275" w14:paraId="5C53CBE0" w14:textId="77777777" w:rsidTr="00F33275">
        <w:trPr>
          <w:trHeight w:val="360"/>
          <w:jc w:val="center"/>
        </w:trPr>
        <w:tc>
          <w:tcPr>
            <w:tcW w:w="2081" w:type="dxa"/>
            <w:shd w:val="clear" w:color="000000" w:fill="FFFFFF"/>
            <w:noWrap/>
            <w:vAlign w:val="center"/>
            <w:hideMark/>
          </w:tcPr>
          <w:p w14:paraId="17864A37" w14:textId="681C7100"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Dividends Paid to GoL</w:t>
            </w:r>
          </w:p>
        </w:tc>
        <w:tc>
          <w:tcPr>
            <w:tcW w:w="1286" w:type="dxa"/>
            <w:vAlign w:val="center"/>
          </w:tcPr>
          <w:p w14:paraId="15D9DDF3" w14:textId="6FC5E262"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  </w:t>
            </w:r>
          </w:p>
        </w:tc>
        <w:tc>
          <w:tcPr>
            <w:tcW w:w="1287" w:type="dxa"/>
            <w:vAlign w:val="center"/>
          </w:tcPr>
          <w:p w14:paraId="62246F12" w14:textId="05339A92"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  </w:t>
            </w:r>
          </w:p>
        </w:tc>
        <w:tc>
          <w:tcPr>
            <w:tcW w:w="1287" w:type="dxa"/>
            <w:shd w:val="clear" w:color="auto" w:fill="auto"/>
            <w:noWrap/>
            <w:vAlign w:val="center"/>
            <w:hideMark/>
          </w:tcPr>
          <w:p w14:paraId="2AC5DD6E" w14:textId="2EF7CF71"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  </w:t>
            </w:r>
          </w:p>
        </w:tc>
        <w:tc>
          <w:tcPr>
            <w:tcW w:w="1287" w:type="dxa"/>
          </w:tcPr>
          <w:p w14:paraId="368A655A" w14:textId="77777777" w:rsidR="009B52FB" w:rsidRPr="00F33275" w:rsidRDefault="009B52FB"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03CCA147" w14:textId="33D61257"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 </w:t>
            </w:r>
          </w:p>
        </w:tc>
      </w:tr>
      <w:tr w:rsidR="009B52FB" w:rsidRPr="00F33275" w14:paraId="373FC1D6" w14:textId="77777777" w:rsidTr="00F33275">
        <w:trPr>
          <w:trHeight w:val="360"/>
          <w:jc w:val="center"/>
        </w:trPr>
        <w:tc>
          <w:tcPr>
            <w:tcW w:w="2081" w:type="dxa"/>
            <w:shd w:val="clear" w:color="000000" w:fill="FFFFFF"/>
            <w:noWrap/>
            <w:vAlign w:val="center"/>
            <w:hideMark/>
          </w:tcPr>
          <w:p w14:paraId="15C13B3A"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Total Assets</w:t>
            </w:r>
          </w:p>
        </w:tc>
        <w:tc>
          <w:tcPr>
            <w:tcW w:w="1286" w:type="dxa"/>
            <w:vAlign w:val="center"/>
          </w:tcPr>
          <w:p w14:paraId="3109D44C" w14:textId="5C59E7D9"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770,594</w:t>
            </w:r>
          </w:p>
        </w:tc>
        <w:tc>
          <w:tcPr>
            <w:tcW w:w="1287" w:type="dxa"/>
            <w:vAlign w:val="center"/>
          </w:tcPr>
          <w:p w14:paraId="6122323C" w14:textId="3DD5F531"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888,565</w:t>
            </w:r>
          </w:p>
        </w:tc>
        <w:tc>
          <w:tcPr>
            <w:tcW w:w="1287" w:type="dxa"/>
            <w:shd w:val="clear" w:color="auto" w:fill="auto"/>
            <w:noWrap/>
            <w:vAlign w:val="center"/>
          </w:tcPr>
          <w:p w14:paraId="77EE24B3" w14:textId="5333806F"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825,047</w:t>
            </w:r>
          </w:p>
        </w:tc>
        <w:tc>
          <w:tcPr>
            <w:tcW w:w="1287" w:type="dxa"/>
          </w:tcPr>
          <w:p w14:paraId="37AAF931" w14:textId="77777777" w:rsidR="009B52FB" w:rsidRPr="00F33275" w:rsidRDefault="009B52FB"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0602DF5E" w14:textId="765F0E0D"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828,069</w:t>
            </w:r>
          </w:p>
        </w:tc>
      </w:tr>
      <w:tr w:rsidR="009B52FB" w:rsidRPr="00F33275" w14:paraId="7AC3EDA0" w14:textId="77777777" w:rsidTr="00F33275">
        <w:trPr>
          <w:trHeight w:val="360"/>
          <w:jc w:val="center"/>
        </w:trPr>
        <w:tc>
          <w:tcPr>
            <w:tcW w:w="2081" w:type="dxa"/>
            <w:shd w:val="clear" w:color="000000" w:fill="FFFFFF"/>
            <w:noWrap/>
            <w:vAlign w:val="center"/>
            <w:hideMark/>
          </w:tcPr>
          <w:p w14:paraId="23FBFA6C"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Total Liabilities</w:t>
            </w:r>
          </w:p>
        </w:tc>
        <w:tc>
          <w:tcPr>
            <w:tcW w:w="1286" w:type="dxa"/>
            <w:vAlign w:val="center"/>
          </w:tcPr>
          <w:p w14:paraId="14C2C63F" w14:textId="26DAFC7C"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604,937</w:t>
            </w:r>
          </w:p>
        </w:tc>
        <w:tc>
          <w:tcPr>
            <w:tcW w:w="1287" w:type="dxa"/>
            <w:vAlign w:val="center"/>
          </w:tcPr>
          <w:p w14:paraId="0F3C1D88" w14:textId="49B91D8C"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776,780</w:t>
            </w:r>
          </w:p>
        </w:tc>
        <w:tc>
          <w:tcPr>
            <w:tcW w:w="1287" w:type="dxa"/>
            <w:shd w:val="clear" w:color="auto" w:fill="auto"/>
            <w:noWrap/>
            <w:vAlign w:val="center"/>
          </w:tcPr>
          <w:p w14:paraId="10459831" w14:textId="439585CE"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742,379</w:t>
            </w:r>
          </w:p>
        </w:tc>
        <w:tc>
          <w:tcPr>
            <w:tcW w:w="1287" w:type="dxa"/>
          </w:tcPr>
          <w:p w14:paraId="24C88ACA" w14:textId="77777777" w:rsidR="009B52FB" w:rsidRPr="00F33275" w:rsidRDefault="009B52FB"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58EC429A" w14:textId="35269901"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708,032</w:t>
            </w:r>
          </w:p>
        </w:tc>
      </w:tr>
      <w:tr w:rsidR="009B52FB" w:rsidRPr="00F33275" w14:paraId="6D0786EB" w14:textId="77777777" w:rsidTr="00F33275">
        <w:trPr>
          <w:trHeight w:val="360"/>
          <w:jc w:val="center"/>
        </w:trPr>
        <w:tc>
          <w:tcPr>
            <w:tcW w:w="2081" w:type="dxa"/>
            <w:shd w:val="clear" w:color="000000" w:fill="FFFFFF"/>
            <w:noWrap/>
            <w:vAlign w:val="center"/>
            <w:hideMark/>
          </w:tcPr>
          <w:p w14:paraId="4980119B"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Shareholders' Funds</w:t>
            </w:r>
          </w:p>
        </w:tc>
        <w:tc>
          <w:tcPr>
            <w:tcW w:w="1286" w:type="dxa"/>
            <w:vAlign w:val="center"/>
          </w:tcPr>
          <w:p w14:paraId="51303229" w14:textId="4895A503"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165,657</w:t>
            </w:r>
          </w:p>
        </w:tc>
        <w:tc>
          <w:tcPr>
            <w:tcW w:w="1287" w:type="dxa"/>
            <w:vAlign w:val="center"/>
          </w:tcPr>
          <w:p w14:paraId="41013A58" w14:textId="30A2CA9F"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111,785</w:t>
            </w:r>
          </w:p>
        </w:tc>
        <w:tc>
          <w:tcPr>
            <w:tcW w:w="1287" w:type="dxa"/>
            <w:shd w:val="clear" w:color="auto" w:fill="auto"/>
            <w:noWrap/>
            <w:vAlign w:val="center"/>
          </w:tcPr>
          <w:p w14:paraId="67280793" w14:textId="2694364A"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82,668</w:t>
            </w:r>
          </w:p>
        </w:tc>
        <w:tc>
          <w:tcPr>
            <w:tcW w:w="1287" w:type="dxa"/>
          </w:tcPr>
          <w:p w14:paraId="430997E6" w14:textId="77777777" w:rsidR="009B52FB" w:rsidRPr="00F33275" w:rsidRDefault="009B52FB"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05B788CB" w14:textId="3C812F8A"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120,037</w:t>
            </w:r>
          </w:p>
        </w:tc>
      </w:tr>
      <w:tr w:rsidR="009B52FB" w:rsidRPr="00F33275" w14:paraId="3CFC1ACE" w14:textId="77777777" w:rsidTr="00F33275">
        <w:trPr>
          <w:trHeight w:val="360"/>
          <w:jc w:val="center"/>
        </w:trPr>
        <w:tc>
          <w:tcPr>
            <w:tcW w:w="2081" w:type="dxa"/>
            <w:shd w:val="clear" w:color="000000" w:fill="FFFFFF"/>
            <w:noWrap/>
            <w:vAlign w:val="center"/>
          </w:tcPr>
          <w:p w14:paraId="54CFE7E5"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EBITDA %</w:t>
            </w:r>
          </w:p>
        </w:tc>
        <w:tc>
          <w:tcPr>
            <w:tcW w:w="1286" w:type="dxa"/>
            <w:vAlign w:val="center"/>
          </w:tcPr>
          <w:p w14:paraId="47002637" w14:textId="17D83FC2"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(19%)</w:t>
            </w:r>
          </w:p>
        </w:tc>
        <w:tc>
          <w:tcPr>
            <w:tcW w:w="1287" w:type="dxa"/>
            <w:vAlign w:val="center"/>
          </w:tcPr>
          <w:p w14:paraId="6BC6E6A4" w14:textId="35847E57"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(13%) </w:t>
            </w:r>
          </w:p>
        </w:tc>
        <w:tc>
          <w:tcPr>
            <w:tcW w:w="1287" w:type="dxa"/>
            <w:shd w:val="clear" w:color="auto" w:fill="auto"/>
            <w:noWrap/>
            <w:vAlign w:val="center"/>
          </w:tcPr>
          <w:p w14:paraId="488B198A" w14:textId="1268B99D"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w:t>
            </w:r>
          </w:p>
        </w:tc>
        <w:tc>
          <w:tcPr>
            <w:tcW w:w="1287" w:type="dxa"/>
          </w:tcPr>
          <w:p w14:paraId="634919DC" w14:textId="77777777" w:rsidR="009B52FB" w:rsidRPr="00F33275" w:rsidRDefault="009B52FB"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1B5F95A2" w14:textId="6215396E"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(12%)</w:t>
            </w:r>
          </w:p>
        </w:tc>
      </w:tr>
      <w:tr w:rsidR="009B52FB" w:rsidRPr="00F33275" w14:paraId="3BB8B25E" w14:textId="77777777" w:rsidTr="00F33275">
        <w:trPr>
          <w:trHeight w:val="360"/>
          <w:jc w:val="center"/>
        </w:trPr>
        <w:tc>
          <w:tcPr>
            <w:tcW w:w="2081" w:type="dxa"/>
            <w:shd w:val="clear" w:color="000000" w:fill="FFFFFF"/>
            <w:noWrap/>
            <w:vAlign w:val="center"/>
          </w:tcPr>
          <w:p w14:paraId="2E9D1818"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NOPAT %</w:t>
            </w:r>
          </w:p>
        </w:tc>
        <w:tc>
          <w:tcPr>
            <w:tcW w:w="1286" w:type="dxa"/>
            <w:vAlign w:val="center"/>
          </w:tcPr>
          <w:p w14:paraId="5BB22097" w14:textId="03DEF8BF"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(15.2%)</w:t>
            </w:r>
          </w:p>
        </w:tc>
        <w:tc>
          <w:tcPr>
            <w:tcW w:w="1287" w:type="dxa"/>
            <w:vAlign w:val="center"/>
          </w:tcPr>
          <w:p w14:paraId="5B9932D2" w14:textId="1136E49D"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(12.2%)</w:t>
            </w:r>
          </w:p>
        </w:tc>
        <w:tc>
          <w:tcPr>
            <w:tcW w:w="1287" w:type="dxa"/>
            <w:shd w:val="clear" w:color="auto" w:fill="auto"/>
            <w:noWrap/>
            <w:vAlign w:val="center"/>
          </w:tcPr>
          <w:p w14:paraId="1F3F86B2" w14:textId="7D60B1E5"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(6.7%)</w:t>
            </w:r>
          </w:p>
        </w:tc>
        <w:tc>
          <w:tcPr>
            <w:tcW w:w="1287" w:type="dxa"/>
          </w:tcPr>
          <w:p w14:paraId="5C6384DA" w14:textId="77777777" w:rsidR="009B52FB" w:rsidRPr="00F33275" w:rsidRDefault="009B52FB"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631F1D6C" w14:textId="0671F227"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(11.4%)</w:t>
            </w:r>
          </w:p>
        </w:tc>
      </w:tr>
      <w:tr w:rsidR="009B52FB" w:rsidRPr="00F33275" w14:paraId="39107ADC" w14:textId="77777777" w:rsidTr="00F33275">
        <w:trPr>
          <w:trHeight w:val="360"/>
          <w:jc w:val="center"/>
        </w:trPr>
        <w:tc>
          <w:tcPr>
            <w:tcW w:w="2081" w:type="dxa"/>
            <w:shd w:val="clear" w:color="000000" w:fill="FFFFFF"/>
            <w:noWrap/>
            <w:vAlign w:val="center"/>
            <w:hideMark/>
          </w:tcPr>
          <w:p w14:paraId="379F9CD6"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ROE %</w:t>
            </w:r>
          </w:p>
        </w:tc>
        <w:tc>
          <w:tcPr>
            <w:tcW w:w="1286" w:type="dxa"/>
            <w:vAlign w:val="center"/>
          </w:tcPr>
          <w:p w14:paraId="01508BAC" w14:textId="7BD23787"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(35.7%)</w:t>
            </w:r>
          </w:p>
        </w:tc>
        <w:tc>
          <w:tcPr>
            <w:tcW w:w="1287" w:type="dxa"/>
            <w:vAlign w:val="center"/>
          </w:tcPr>
          <w:p w14:paraId="0A0AF55E" w14:textId="00751EDE"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(48.2%)</w:t>
            </w:r>
          </w:p>
        </w:tc>
        <w:tc>
          <w:tcPr>
            <w:tcW w:w="1287" w:type="dxa"/>
            <w:shd w:val="clear" w:color="auto" w:fill="auto"/>
            <w:noWrap/>
            <w:vAlign w:val="center"/>
          </w:tcPr>
          <w:p w14:paraId="6173CD3F" w14:textId="5B387BB6"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(35.2%)</w:t>
            </w:r>
          </w:p>
        </w:tc>
        <w:tc>
          <w:tcPr>
            <w:tcW w:w="1287" w:type="dxa"/>
          </w:tcPr>
          <w:p w14:paraId="3EB7B43B" w14:textId="77777777" w:rsidR="009B52FB" w:rsidRPr="00F33275" w:rsidRDefault="009B52FB"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3295D4C6" w14:textId="70EC925C"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(39.7%)</w:t>
            </w:r>
          </w:p>
        </w:tc>
      </w:tr>
      <w:tr w:rsidR="009B52FB" w:rsidRPr="00F33275" w14:paraId="10982DC0" w14:textId="77777777" w:rsidTr="00F33275">
        <w:trPr>
          <w:trHeight w:val="360"/>
          <w:jc w:val="center"/>
        </w:trPr>
        <w:tc>
          <w:tcPr>
            <w:tcW w:w="2081" w:type="dxa"/>
            <w:shd w:val="clear" w:color="000000" w:fill="FFFFFF"/>
            <w:noWrap/>
            <w:vAlign w:val="center"/>
            <w:hideMark/>
          </w:tcPr>
          <w:p w14:paraId="484615F9"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ROA %</w:t>
            </w:r>
          </w:p>
        </w:tc>
        <w:tc>
          <w:tcPr>
            <w:tcW w:w="1286" w:type="dxa"/>
            <w:vAlign w:val="center"/>
          </w:tcPr>
          <w:p w14:paraId="43C5D94F" w14:textId="74EE94C0"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(7.7%)</w:t>
            </w:r>
          </w:p>
        </w:tc>
        <w:tc>
          <w:tcPr>
            <w:tcW w:w="1287" w:type="dxa"/>
            <w:vAlign w:val="center"/>
          </w:tcPr>
          <w:p w14:paraId="182E7C1A" w14:textId="2D1FCA46"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(6.1%)</w:t>
            </w:r>
          </w:p>
        </w:tc>
        <w:tc>
          <w:tcPr>
            <w:tcW w:w="1287" w:type="dxa"/>
            <w:shd w:val="clear" w:color="auto" w:fill="auto"/>
            <w:noWrap/>
            <w:vAlign w:val="center"/>
          </w:tcPr>
          <w:p w14:paraId="4A5BA119" w14:textId="6100135F"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(3.5%)</w:t>
            </w:r>
          </w:p>
        </w:tc>
        <w:tc>
          <w:tcPr>
            <w:tcW w:w="1287" w:type="dxa"/>
          </w:tcPr>
          <w:p w14:paraId="5287854F" w14:textId="77777777" w:rsidR="009B52FB" w:rsidRPr="00F33275" w:rsidRDefault="009B52FB"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38402A01" w14:textId="288A08FC"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(5.8%)</w:t>
            </w:r>
          </w:p>
        </w:tc>
      </w:tr>
      <w:tr w:rsidR="009B52FB" w:rsidRPr="00F33275" w14:paraId="145ED529" w14:textId="77777777" w:rsidTr="00F33275">
        <w:trPr>
          <w:trHeight w:val="360"/>
          <w:jc w:val="center"/>
        </w:trPr>
        <w:tc>
          <w:tcPr>
            <w:tcW w:w="2081" w:type="dxa"/>
            <w:shd w:val="clear" w:color="000000" w:fill="FFFFFF"/>
            <w:noWrap/>
            <w:vAlign w:val="center"/>
          </w:tcPr>
          <w:p w14:paraId="391FD9DF"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lastRenderedPageBreak/>
              <w:t>Current Assets / Current liabilities</w:t>
            </w:r>
          </w:p>
        </w:tc>
        <w:tc>
          <w:tcPr>
            <w:tcW w:w="1286" w:type="dxa"/>
            <w:vAlign w:val="center"/>
          </w:tcPr>
          <w:p w14:paraId="15F5FF8E" w14:textId="1142460B"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0.64</w:t>
            </w:r>
          </w:p>
        </w:tc>
        <w:tc>
          <w:tcPr>
            <w:tcW w:w="1287" w:type="dxa"/>
            <w:vAlign w:val="center"/>
          </w:tcPr>
          <w:p w14:paraId="19599F43" w14:textId="3990DC7B"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0.41</w:t>
            </w:r>
          </w:p>
        </w:tc>
        <w:tc>
          <w:tcPr>
            <w:tcW w:w="1287" w:type="dxa"/>
            <w:shd w:val="clear" w:color="auto" w:fill="auto"/>
            <w:noWrap/>
            <w:vAlign w:val="center"/>
          </w:tcPr>
          <w:p w14:paraId="1E3F9B6B" w14:textId="16657A42"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0.68 </w:t>
            </w:r>
          </w:p>
        </w:tc>
        <w:tc>
          <w:tcPr>
            <w:tcW w:w="1287" w:type="dxa"/>
          </w:tcPr>
          <w:p w14:paraId="354CF4B7" w14:textId="77777777" w:rsidR="009B52FB" w:rsidRPr="00F33275" w:rsidRDefault="009B52FB"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093A15B1" w14:textId="341218C4"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0.57</w:t>
            </w:r>
          </w:p>
        </w:tc>
      </w:tr>
      <w:tr w:rsidR="009B52FB" w:rsidRPr="00F33275" w14:paraId="6926CA18" w14:textId="77777777" w:rsidTr="00F33275">
        <w:trPr>
          <w:trHeight w:val="360"/>
          <w:jc w:val="center"/>
        </w:trPr>
        <w:tc>
          <w:tcPr>
            <w:tcW w:w="2081" w:type="dxa"/>
            <w:shd w:val="clear" w:color="000000" w:fill="FFFFFF"/>
            <w:noWrap/>
            <w:vAlign w:val="center"/>
          </w:tcPr>
          <w:p w14:paraId="15243FAB"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Quick Ratio</w:t>
            </w:r>
          </w:p>
        </w:tc>
        <w:tc>
          <w:tcPr>
            <w:tcW w:w="1286" w:type="dxa"/>
            <w:vAlign w:val="center"/>
          </w:tcPr>
          <w:p w14:paraId="2AAB3852" w14:textId="21072B3C"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0.59</w:t>
            </w:r>
          </w:p>
        </w:tc>
        <w:tc>
          <w:tcPr>
            <w:tcW w:w="1287" w:type="dxa"/>
            <w:vAlign w:val="center"/>
          </w:tcPr>
          <w:p w14:paraId="059C7A49" w14:textId="2A1D31DE"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0.35</w:t>
            </w:r>
          </w:p>
        </w:tc>
        <w:tc>
          <w:tcPr>
            <w:tcW w:w="1287" w:type="dxa"/>
            <w:shd w:val="clear" w:color="auto" w:fill="auto"/>
            <w:noWrap/>
            <w:vAlign w:val="center"/>
          </w:tcPr>
          <w:p w14:paraId="5F0BE37D" w14:textId="057FE4B7"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0.61</w:t>
            </w:r>
          </w:p>
        </w:tc>
        <w:tc>
          <w:tcPr>
            <w:tcW w:w="1287" w:type="dxa"/>
          </w:tcPr>
          <w:p w14:paraId="26E23228" w14:textId="77777777" w:rsidR="009B52FB" w:rsidRPr="00F33275" w:rsidRDefault="009B52FB"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66230940" w14:textId="6454DE54"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0.52</w:t>
            </w:r>
          </w:p>
        </w:tc>
      </w:tr>
      <w:tr w:rsidR="009B52FB" w:rsidRPr="00F33275" w14:paraId="3124E9CF" w14:textId="77777777" w:rsidTr="00F33275">
        <w:trPr>
          <w:trHeight w:val="360"/>
          <w:jc w:val="center"/>
        </w:trPr>
        <w:tc>
          <w:tcPr>
            <w:tcW w:w="2081" w:type="dxa"/>
            <w:shd w:val="clear" w:color="000000" w:fill="FFFFFF"/>
            <w:noWrap/>
            <w:vAlign w:val="center"/>
          </w:tcPr>
          <w:p w14:paraId="1023DF80"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Accounts Receivable Days</w:t>
            </w:r>
          </w:p>
        </w:tc>
        <w:tc>
          <w:tcPr>
            <w:tcW w:w="1286" w:type="dxa"/>
            <w:vAlign w:val="center"/>
          </w:tcPr>
          <w:p w14:paraId="4B41F0BD" w14:textId="461D9E5A"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112</w:t>
            </w:r>
          </w:p>
        </w:tc>
        <w:tc>
          <w:tcPr>
            <w:tcW w:w="1287" w:type="dxa"/>
            <w:vAlign w:val="center"/>
          </w:tcPr>
          <w:p w14:paraId="3BBD6830" w14:textId="291E684A"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72</w:t>
            </w:r>
          </w:p>
        </w:tc>
        <w:tc>
          <w:tcPr>
            <w:tcW w:w="1287" w:type="dxa"/>
            <w:shd w:val="clear" w:color="auto" w:fill="auto"/>
            <w:noWrap/>
            <w:vAlign w:val="center"/>
          </w:tcPr>
          <w:p w14:paraId="6C52D7FF" w14:textId="50680DD0"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69</w:t>
            </w:r>
          </w:p>
        </w:tc>
        <w:tc>
          <w:tcPr>
            <w:tcW w:w="1287" w:type="dxa"/>
          </w:tcPr>
          <w:p w14:paraId="0CC9BEC3" w14:textId="77777777" w:rsidR="009B52FB" w:rsidRPr="00F33275" w:rsidRDefault="009B52FB"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41353451" w14:textId="4EAAE2C0"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85</w:t>
            </w:r>
          </w:p>
        </w:tc>
      </w:tr>
      <w:tr w:rsidR="009B52FB" w:rsidRPr="00F33275" w14:paraId="7A57E96F" w14:textId="77777777" w:rsidTr="00F33275">
        <w:trPr>
          <w:trHeight w:val="360"/>
          <w:jc w:val="center"/>
        </w:trPr>
        <w:tc>
          <w:tcPr>
            <w:tcW w:w="2081" w:type="dxa"/>
            <w:shd w:val="clear" w:color="000000" w:fill="FFFFFF"/>
            <w:noWrap/>
            <w:vAlign w:val="center"/>
          </w:tcPr>
          <w:p w14:paraId="702A70A1"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Assets Turnover</w:t>
            </w:r>
          </w:p>
        </w:tc>
        <w:tc>
          <w:tcPr>
            <w:tcW w:w="1286" w:type="dxa"/>
            <w:vAlign w:val="center"/>
          </w:tcPr>
          <w:p w14:paraId="272FC6CD" w14:textId="473B2930"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0.52</w:t>
            </w:r>
          </w:p>
        </w:tc>
        <w:tc>
          <w:tcPr>
            <w:tcW w:w="1287" w:type="dxa"/>
            <w:vAlign w:val="center"/>
          </w:tcPr>
          <w:p w14:paraId="6EEA791E" w14:textId="13E91321"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0.46</w:t>
            </w:r>
          </w:p>
        </w:tc>
        <w:tc>
          <w:tcPr>
            <w:tcW w:w="1287" w:type="dxa"/>
            <w:shd w:val="clear" w:color="auto" w:fill="auto"/>
            <w:noWrap/>
            <w:vAlign w:val="center"/>
          </w:tcPr>
          <w:p w14:paraId="34355B27" w14:textId="4525DE04"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0.48</w:t>
            </w:r>
          </w:p>
        </w:tc>
        <w:tc>
          <w:tcPr>
            <w:tcW w:w="1287" w:type="dxa"/>
          </w:tcPr>
          <w:p w14:paraId="71DF49E3" w14:textId="77777777" w:rsidR="009B52FB" w:rsidRPr="00F33275" w:rsidRDefault="009B52FB"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tcPr>
          <w:p w14:paraId="7DF6A654" w14:textId="32A7FE9B"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0.49</w:t>
            </w:r>
          </w:p>
        </w:tc>
      </w:tr>
      <w:tr w:rsidR="009B52FB" w:rsidRPr="00F33275" w14:paraId="5D5E8520" w14:textId="77777777" w:rsidTr="00F33275">
        <w:trPr>
          <w:trHeight w:val="360"/>
          <w:jc w:val="center"/>
        </w:trPr>
        <w:tc>
          <w:tcPr>
            <w:tcW w:w="2081" w:type="dxa"/>
            <w:shd w:val="clear" w:color="000000" w:fill="FFFFFF"/>
            <w:noWrap/>
            <w:vAlign w:val="center"/>
            <w:hideMark/>
          </w:tcPr>
          <w:p w14:paraId="19A35085"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Debt / Equity Ratio</w:t>
            </w:r>
          </w:p>
        </w:tc>
        <w:tc>
          <w:tcPr>
            <w:tcW w:w="1286" w:type="dxa"/>
            <w:vAlign w:val="center"/>
          </w:tcPr>
          <w:p w14:paraId="2954C846" w14:textId="1918A824"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2.06</w:t>
            </w:r>
          </w:p>
        </w:tc>
        <w:tc>
          <w:tcPr>
            <w:tcW w:w="1287" w:type="dxa"/>
            <w:vAlign w:val="center"/>
          </w:tcPr>
          <w:p w14:paraId="3493E39F" w14:textId="05F81DEF"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4.71</w:t>
            </w:r>
          </w:p>
        </w:tc>
        <w:tc>
          <w:tcPr>
            <w:tcW w:w="1287" w:type="dxa"/>
            <w:shd w:val="clear" w:color="auto" w:fill="auto"/>
            <w:noWrap/>
            <w:vAlign w:val="center"/>
          </w:tcPr>
          <w:p w14:paraId="28901B76" w14:textId="08BC8A92"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6.93</w:t>
            </w:r>
          </w:p>
        </w:tc>
        <w:tc>
          <w:tcPr>
            <w:tcW w:w="1287" w:type="dxa"/>
          </w:tcPr>
          <w:p w14:paraId="2A6AA083" w14:textId="77777777" w:rsidR="009B52FB" w:rsidRPr="00F33275" w:rsidRDefault="009B52FB" w:rsidP="005A1DD4">
            <w:pPr>
              <w:spacing w:before="120"/>
              <w:jc w:val="right"/>
              <w:rPr>
                <w:rFonts w:asciiTheme="minorHAnsi" w:hAnsiTheme="minorHAnsi" w:cstheme="minorHAnsi"/>
                <w:color w:val="000000" w:themeColor="text1"/>
                <w:sz w:val="18"/>
                <w:szCs w:val="18"/>
                <w:lang w:eastAsia="en-GB"/>
              </w:rPr>
            </w:pPr>
          </w:p>
        </w:tc>
        <w:tc>
          <w:tcPr>
            <w:tcW w:w="1287" w:type="dxa"/>
            <w:shd w:val="clear" w:color="auto" w:fill="auto"/>
            <w:noWrap/>
            <w:vAlign w:val="center"/>
            <w:hideMark/>
          </w:tcPr>
          <w:p w14:paraId="3B7A4965" w14:textId="1E22718B"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4.57</w:t>
            </w:r>
          </w:p>
        </w:tc>
      </w:tr>
    </w:tbl>
    <w:p w14:paraId="0E2609E0" w14:textId="77777777" w:rsidR="005C0781" w:rsidRPr="00D25BE7" w:rsidRDefault="005C0781" w:rsidP="005C0781">
      <w:pPr>
        <w:rPr>
          <w:rFonts w:asciiTheme="minorHAnsi" w:hAnsiTheme="minorHAnsi"/>
          <w:color w:val="000000" w:themeColor="text1"/>
          <w:lang w:val="en-GB"/>
        </w:rPr>
      </w:pPr>
      <w:r w:rsidRPr="00D25BE7">
        <w:rPr>
          <w:rFonts w:asciiTheme="minorHAnsi" w:hAnsiTheme="minorHAnsi"/>
        </w:rPr>
        <w:t xml:space="preserve"> </w:t>
      </w:r>
    </w:p>
    <w:p w14:paraId="039F2DB1" w14:textId="77777777" w:rsidR="00E31C29" w:rsidRPr="005D564C" w:rsidRDefault="00E31C29" w:rsidP="00E31C29">
      <w:pPr>
        <w:pStyle w:val="ListParagraph"/>
        <w:ind w:left="567" w:hanging="567"/>
        <w:rPr>
          <w:rFonts w:asciiTheme="minorHAnsi" w:hAnsiTheme="minorHAnsi"/>
          <w:lang w:val="en-GB"/>
        </w:rPr>
      </w:pPr>
      <w:r w:rsidRPr="00D25BE7">
        <w:rPr>
          <w:rFonts w:asciiTheme="minorHAnsi" w:hAnsiTheme="minorHAnsi"/>
        </w:rPr>
        <w:t xml:space="preserve">While the overall performance indicators are a </w:t>
      </w:r>
      <w:r w:rsidRPr="00D25BE7">
        <w:rPr>
          <w:rFonts w:asciiTheme="minorHAnsi" w:hAnsiTheme="minorHAnsi"/>
          <w:lang w:val="en-GB"/>
        </w:rPr>
        <w:t xml:space="preserve">cause of concern, the AFS indicate that the largest item of expenditure is the </w:t>
      </w:r>
      <w:r w:rsidR="008B43C1" w:rsidRPr="00D25BE7">
        <w:rPr>
          <w:rFonts w:asciiTheme="minorHAnsi" w:hAnsiTheme="minorHAnsi"/>
          <w:lang w:val="en-GB"/>
        </w:rPr>
        <w:t>depreciation charge</w:t>
      </w:r>
      <w:r w:rsidRPr="00D25BE7">
        <w:rPr>
          <w:rFonts w:asciiTheme="minorHAnsi" w:hAnsiTheme="minorHAnsi"/>
          <w:lang w:val="en-GB"/>
        </w:rPr>
        <w:t>. This figure represents 26% of total expenditure of the FY17 year</w:t>
      </w:r>
      <w:r w:rsidR="008B43C1" w:rsidRPr="00D25BE7">
        <w:rPr>
          <w:rFonts w:asciiTheme="minorHAnsi" w:hAnsiTheme="minorHAnsi"/>
          <w:lang w:val="en-GB"/>
        </w:rPr>
        <w:t xml:space="preserve"> and warrants </w:t>
      </w:r>
      <w:r w:rsidRPr="00D25BE7">
        <w:rPr>
          <w:rFonts w:asciiTheme="minorHAnsi" w:hAnsiTheme="minorHAnsi"/>
        </w:rPr>
        <w:t xml:space="preserve">a better understanding as it suggests </w:t>
      </w:r>
      <w:r w:rsidR="008B43C1" w:rsidRPr="00D25BE7">
        <w:rPr>
          <w:rFonts w:asciiTheme="minorHAnsi" w:hAnsiTheme="minorHAnsi"/>
        </w:rPr>
        <w:t>large costs of infrastructure (fixed line) and it is not clear if suitable returns are available.</w:t>
      </w:r>
    </w:p>
    <w:p w14:paraId="7859808C" w14:textId="4FD6D3E7" w:rsidR="001A6A6F" w:rsidRPr="005D564C" w:rsidRDefault="00543A7B" w:rsidP="001A6A6F">
      <w:pPr>
        <w:pStyle w:val="ListParagraph"/>
        <w:ind w:left="567" w:hanging="567"/>
        <w:rPr>
          <w:rFonts w:asciiTheme="minorHAnsi" w:hAnsiTheme="minorHAnsi"/>
          <w:szCs w:val="22"/>
          <w:lang w:val="en-GB"/>
        </w:rPr>
      </w:pPr>
      <w:r>
        <w:rPr>
          <w:rFonts w:asciiTheme="minorHAnsi" w:hAnsiTheme="minorHAnsi"/>
        </w:rPr>
        <w:t xml:space="preserve">Econet is a </w:t>
      </w:r>
      <w:r w:rsidRPr="00F33B86">
        <w:rPr>
          <w:rFonts w:asciiTheme="minorHAnsi" w:hAnsiTheme="minorHAnsi"/>
          <w:szCs w:val="22"/>
        </w:rPr>
        <w:t xml:space="preserve">beneficiary of GOL’s on-lending in relation to 2 loans from Exim Bank of China amounting to M </w:t>
      </w:r>
      <w:r w:rsidRPr="005D564C">
        <w:rPr>
          <w:rFonts w:asciiTheme="minorHAnsi" w:hAnsiTheme="minorHAnsi" w:cs="Arial"/>
          <w:color w:val="000000"/>
          <w:szCs w:val="22"/>
        </w:rPr>
        <w:t>428,713,674</w:t>
      </w:r>
      <w:r w:rsidR="00F33B86">
        <w:rPr>
          <w:rFonts w:asciiTheme="minorHAnsi" w:hAnsiTheme="minorHAnsi" w:cs="Arial"/>
          <w:color w:val="000000"/>
          <w:szCs w:val="22"/>
        </w:rPr>
        <w:t xml:space="preserve">. In 2016/17 Econet defaulted on one account and according to the Report of the Auditor-General 2017/18 </w:t>
      </w:r>
      <w:r w:rsidR="00F33B86" w:rsidRPr="00F33B86">
        <w:rPr>
          <w:rFonts w:asciiTheme="minorHAnsi" w:hAnsiTheme="minorHAnsi" w:cs="Arial"/>
          <w:color w:val="000000"/>
          <w:szCs w:val="22"/>
        </w:rPr>
        <w:t>“</w:t>
      </w:r>
      <w:r w:rsidR="00F33B86" w:rsidRPr="005D564C">
        <w:rPr>
          <w:rFonts w:asciiTheme="minorHAnsi" w:hAnsiTheme="minorHAnsi" w:cs="Verdana Bold"/>
          <w:color w:val="000000"/>
          <w:szCs w:val="22"/>
        </w:rPr>
        <w:t>Econet had not made any principal repayment during the financial year 2017/18 and were in arrears of principal repayments of M15,549,751</w:t>
      </w:r>
      <w:r w:rsidR="00F33B86">
        <w:rPr>
          <w:rFonts w:asciiTheme="minorHAnsi" w:hAnsiTheme="minorHAnsi" w:cs="Verdana Bold"/>
          <w:color w:val="000000"/>
          <w:szCs w:val="22"/>
        </w:rPr>
        <w:t xml:space="preserve">”. </w:t>
      </w:r>
      <w:r w:rsidR="00954FEA">
        <w:rPr>
          <w:rFonts w:asciiTheme="minorHAnsi" w:hAnsiTheme="minorHAnsi" w:cs="Verdana Bold"/>
          <w:color w:val="000000"/>
          <w:szCs w:val="22"/>
        </w:rPr>
        <w:t>Such on-lending is normally associated with SOEs and as GoL only has a minority stake of 30% in Econet, it</w:t>
      </w:r>
      <w:r w:rsidR="00971143">
        <w:rPr>
          <w:rFonts w:asciiTheme="minorHAnsi" w:hAnsiTheme="minorHAnsi" w:cs="Verdana Bold"/>
          <w:color w:val="000000"/>
          <w:szCs w:val="22"/>
        </w:rPr>
        <w:t xml:space="preserve"> is surprising that the larger s</w:t>
      </w:r>
      <w:r w:rsidR="00954FEA">
        <w:rPr>
          <w:rFonts w:asciiTheme="minorHAnsi" w:hAnsiTheme="minorHAnsi" w:cs="Verdana Bold"/>
          <w:color w:val="000000"/>
          <w:szCs w:val="22"/>
        </w:rPr>
        <w:t>hareholder is not providing guarantees for these significant loans.</w:t>
      </w:r>
    </w:p>
    <w:p w14:paraId="5D0C810E" w14:textId="3BF558E1" w:rsidR="00E31C29" w:rsidRPr="005D564C" w:rsidRDefault="00E31C29" w:rsidP="00E31C29">
      <w:pPr>
        <w:pStyle w:val="ListParagraph"/>
        <w:ind w:left="567" w:hanging="567"/>
        <w:rPr>
          <w:rFonts w:asciiTheme="minorHAnsi" w:hAnsiTheme="minorHAnsi"/>
          <w:lang w:val="en-GB"/>
        </w:rPr>
      </w:pPr>
      <w:r w:rsidRPr="00D25BE7">
        <w:rPr>
          <w:rFonts w:asciiTheme="minorHAnsi" w:hAnsiTheme="minorHAnsi"/>
        </w:rPr>
        <w:t>It is also worth noting that Econet is still dependent on Fixed line income, mostly through data, but Fixed line and Mobile are approximately 50% each of revenue.</w:t>
      </w:r>
      <w:r w:rsidR="001A6A6F">
        <w:rPr>
          <w:rFonts w:asciiTheme="minorHAnsi" w:hAnsiTheme="minorHAnsi"/>
        </w:rPr>
        <w:t xml:space="preserve"> Econet’s Fixed Line license expires on the 1</w:t>
      </w:r>
      <w:r w:rsidR="001A6A6F" w:rsidRPr="005D564C">
        <w:rPr>
          <w:rFonts w:asciiTheme="minorHAnsi" w:hAnsiTheme="minorHAnsi"/>
          <w:vertAlign w:val="superscript"/>
        </w:rPr>
        <w:t>st</w:t>
      </w:r>
      <w:r w:rsidR="001A6A6F">
        <w:rPr>
          <w:rFonts w:asciiTheme="minorHAnsi" w:hAnsiTheme="minorHAnsi"/>
        </w:rPr>
        <w:t xml:space="preserve"> of November 2020.</w:t>
      </w:r>
      <w:r w:rsidR="0018502B">
        <w:rPr>
          <w:rFonts w:asciiTheme="minorHAnsi" w:hAnsiTheme="minorHAnsi"/>
        </w:rPr>
        <w:t xml:space="preserve"> It is unclear what criteria will be used to evaluate Econet’s </w:t>
      </w:r>
      <w:proofErr w:type="spellStart"/>
      <w:r w:rsidR="0018502B">
        <w:rPr>
          <w:rFonts w:asciiTheme="minorHAnsi" w:hAnsiTheme="minorHAnsi"/>
        </w:rPr>
        <w:t>licence</w:t>
      </w:r>
      <w:proofErr w:type="spellEnd"/>
      <w:r w:rsidR="0018502B">
        <w:rPr>
          <w:rFonts w:asciiTheme="minorHAnsi" w:hAnsiTheme="minorHAnsi"/>
        </w:rPr>
        <w:t xml:space="preserve"> renewal if the company is in such difficulties.</w:t>
      </w:r>
    </w:p>
    <w:p w14:paraId="46685CE5" w14:textId="2FE1DB52" w:rsidR="00641F91" w:rsidRPr="005D564C" w:rsidRDefault="00641F91" w:rsidP="00E31C29">
      <w:pPr>
        <w:pStyle w:val="ListParagraph"/>
        <w:ind w:left="567" w:hanging="567"/>
        <w:rPr>
          <w:rFonts w:asciiTheme="minorHAnsi" w:hAnsiTheme="minorHAnsi"/>
          <w:lang w:val="en-GB"/>
        </w:rPr>
      </w:pPr>
      <w:r w:rsidRPr="00713392">
        <w:rPr>
          <w:rFonts w:asciiTheme="minorHAnsi" w:hAnsiTheme="minorHAnsi"/>
        </w:rPr>
        <w:t xml:space="preserve">Figure </w:t>
      </w:r>
      <w:r w:rsidR="005E3EE0" w:rsidRPr="00335099">
        <w:rPr>
          <w:rFonts w:asciiTheme="minorHAnsi" w:hAnsiTheme="minorHAnsi"/>
        </w:rPr>
        <w:t>25</w:t>
      </w:r>
      <w:r w:rsidR="005E3EE0">
        <w:rPr>
          <w:rFonts w:asciiTheme="minorHAnsi" w:hAnsiTheme="minorHAnsi"/>
        </w:rPr>
        <w:t xml:space="preserve"> </w:t>
      </w:r>
      <w:r>
        <w:rPr>
          <w:rFonts w:asciiTheme="minorHAnsi" w:hAnsiTheme="minorHAnsi"/>
        </w:rPr>
        <w:t xml:space="preserve">below highlights </w:t>
      </w:r>
      <w:r w:rsidR="00D050BD">
        <w:rPr>
          <w:rFonts w:asciiTheme="minorHAnsi" w:hAnsiTheme="minorHAnsi"/>
        </w:rPr>
        <w:t xml:space="preserve">a </w:t>
      </w:r>
      <w:r>
        <w:rPr>
          <w:rFonts w:asciiTheme="minorHAnsi" w:hAnsiTheme="minorHAnsi"/>
        </w:rPr>
        <w:t>concern that</w:t>
      </w:r>
      <w:r w:rsidR="00D050BD">
        <w:rPr>
          <w:rFonts w:asciiTheme="minorHAnsi" w:hAnsiTheme="minorHAnsi"/>
        </w:rPr>
        <w:t xml:space="preserve"> not only is the company unprofitable and defaulting on its loans, the equity value has </w:t>
      </w:r>
      <w:r w:rsidR="003B2220">
        <w:rPr>
          <w:rFonts w:asciiTheme="minorHAnsi" w:hAnsiTheme="minorHAnsi"/>
        </w:rPr>
        <w:t>declined by 50% over 2 years.</w:t>
      </w:r>
    </w:p>
    <w:p w14:paraId="4D2CAFFD" w14:textId="6D0AE556" w:rsidR="00641F91" w:rsidRDefault="00752D80" w:rsidP="005D564C">
      <w:pPr>
        <w:pStyle w:val="ListParagraph"/>
        <w:numPr>
          <w:ilvl w:val="0"/>
          <w:numId w:val="0"/>
        </w:numPr>
        <w:ind w:left="567"/>
        <w:rPr>
          <w:rFonts w:asciiTheme="minorHAnsi" w:hAnsiTheme="minorHAnsi"/>
          <w:lang w:val="en-GB"/>
        </w:rPr>
      </w:pPr>
      <w:r>
        <w:rPr>
          <w:rFonts w:asciiTheme="minorHAnsi" w:hAnsiTheme="minorHAnsi"/>
          <w:lang w:val="en-GB"/>
        </w:rPr>
        <w:t>Figure 25: Econet Equity v Assets</w:t>
      </w:r>
    </w:p>
    <w:p w14:paraId="719A54A8" w14:textId="1BA4D124" w:rsidR="00641F91" w:rsidRPr="005D564C" w:rsidRDefault="00641F91" w:rsidP="005D564C">
      <w:pPr>
        <w:pStyle w:val="ListParagraph"/>
        <w:numPr>
          <w:ilvl w:val="0"/>
          <w:numId w:val="0"/>
        </w:numPr>
        <w:ind w:left="567"/>
        <w:rPr>
          <w:rFonts w:asciiTheme="minorHAnsi" w:hAnsiTheme="minorHAnsi"/>
          <w:lang w:val="en-GB"/>
        </w:rPr>
      </w:pPr>
      <w:r>
        <w:rPr>
          <w:noProof/>
        </w:rPr>
        <w:drawing>
          <wp:inline distT="0" distB="0" distL="0" distR="0" wp14:anchorId="1CF808C7" wp14:editId="0726921A">
            <wp:extent cx="4437380" cy="2514600"/>
            <wp:effectExtent l="0" t="0" r="33020" b="2540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A0782AB" w14:textId="4E1B9D44" w:rsidR="00641F91" w:rsidRPr="00F33275" w:rsidRDefault="000C4E76" w:rsidP="00F33275">
      <w:pPr>
        <w:ind w:firstLine="567"/>
        <w:rPr>
          <w:rFonts w:asciiTheme="minorHAnsi" w:hAnsiTheme="minorHAnsi"/>
          <w:i/>
          <w:sz w:val="18"/>
          <w:szCs w:val="18"/>
          <w:lang w:val="en-GB"/>
        </w:rPr>
      </w:pPr>
      <w:r w:rsidRPr="00F33275">
        <w:rPr>
          <w:rFonts w:asciiTheme="minorHAnsi" w:hAnsiTheme="minorHAnsi"/>
          <w:i/>
          <w:sz w:val="18"/>
          <w:szCs w:val="18"/>
          <w:lang w:val="en-GB"/>
        </w:rPr>
        <w:t>Source: Econet AFS Various Years</w:t>
      </w:r>
    </w:p>
    <w:p w14:paraId="2712B074" w14:textId="4D369FB1" w:rsidR="00D71E7D" w:rsidRPr="00D25BE7" w:rsidRDefault="00D71E7D" w:rsidP="00D71E7D">
      <w:pPr>
        <w:pStyle w:val="ListParagraph"/>
        <w:ind w:left="567" w:hanging="567"/>
        <w:rPr>
          <w:rFonts w:asciiTheme="minorHAnsi" w:hAnsiTheme="minorHAnsi"/>
          <w:lang w:val="en-GB"/>
        </w:rPr>
      </w:pPr>
      <w:r w:rsidRPr="006E3A96">
        <w:rPr>
          <w:rFonts w:asciiTheme="minorHAnsi" w:hAnsiTheme="minorHAnsi"/>
          <w:b/>
          <w:sz w:val="24"/>
          <w:szCs w:val="24"/>
          <w:u w:val="single"/>
          <w:lang w:val="en-GB"/>
        </w:rPr>
        <w:lastRenderedPageBreak/>
        <w:t>Standard Lesotho Bank</w:t>
      </w:r>
      <w:r w:rsidRPr="00D25BE7">
        <w:rPr>
          <w:rFonts w:asciiTheme="minorHAnsi" w:hAnsiTheme="minorHAnsi"/>
          <w:b/>
          <w:u w:val="single"/>
          <w:lang w:val="en-GB"/>
        </w:rPr>
        <w:t xml:space="preserve"> </w:t>
      </w:r>
      <w:r w:rsidR="00010C14">
        <w:rPr>
          <w:rFonts w:asciiTheme="minorHAnsi" w:hAnsiTheme="minorHAnsi"/>
          <w:b/>
          <w:u w:val="single"/>
          <w:lang w:val="en-GB"/>
        </w:rPr>
        <w:t xml:space="preserve">SLB </w:t>
      </w:r>
      <w:r w:rsidRPr="00D25BE7">
        <w:rPr>
          <w:rFonts w:asciiTheme="minorHAnsi" w:hAnsiTheme="minorHAnsi"/>
          <w:lang w:val="en-GB"/>
        </w:rPr>
        <w:t xml:space="preserve">is 9.6% Government owned </w:t>
      </w:r>
      <w:r w:rsidR="00010C14">
        <w:rPr>
          <w:rFonts w:asciiTheme="minorHAnsi" w:hAnsiTheme="minorHAnsi"/>
          <w:lang w:val="en-GB"/>
        </w:rPr>
        <w:t xml:space="preserve">and the rest is owned by </w:t>
      </w:r>
      <w:r w:rsidRPr="00D25BE7">
        <w:rPr>
          <w:rFonts w:asciiTheme="minorHAnsi" w:hAnsiTheme="minorHAnsi"/>
          <w:lang w:val="en-GB"/>
        </w:rPr>
        <w:t xml:space="preserve">the Standard Bank Group of South Africa.  </w:t>
      </w:r>
    </w:p>
    <w:p w14:paraId="13081B46" w14:textId="777B5C38" w:rsidR="00D71E7D" w:rsidRPr="00D25BE7" w:rsidRDefault="00D71E7D" w:rsidP="00D71E7D">
      <w:pPr>
        <w:pStyle w:val="ListParagraph"/>
        <w:ind w:left="426" w:hanging="426"/>
        <w:rPr>
          <w:rFonts w:asciiTheme="minorHAnsi" w:hAnsiTheme="minorHAnsi"/>
          <w:color w:val="000000" w:themeColor="text1"/>
          <w:szCs w:val="22"/>
          <w:lang w:val="en-GB"/>
        </w:rPr>
      </w:pPr>
      <w:r w:rsidRPr="00D25BE7">
        <w:rPr>
          <w:rFonts w:asciiTheme="minorHAnsi" w:hAnsiTheme="minorHAnsi"/>
          <w:lang w:val="en-GB"/>
        </w:rPr>
        <w:t xml:space="preserve">The performance trend for Standard </w:t>
      </w:r>
      <w:r w:rsidR="00B3457B" w:rsidRPr="00D25BE7">
        <w:rPr>
          <w:rFonts w:asciiTheme="minorHAnsi" w:hAnsiTheme="minorHAnsi"/>
          <w:lang w:val="en-GB"/>
        </w:rPr>
        <w:t xml:space="preserve">has been strong and dividend </w:t>
      </w:r>
      <w:r w:rsidR="00162065" w:rsidRPr="00D25BE7">
        <w:rPr>
          <w:rFonts w:asciiTheme="minorHAnsi" w:hAnsiTheme="minorHAnsi"/>
          <w:lang w:val="en-GB"/>
        </w:rPr>
        <w:t>pay-out</w:t>
      </w:r>
      <w:r w:rsidR="00B3457B" w:rsidRPr="00D25BE7">
        <w:rPr>
          <w:rFonts w:asciiTheme="minorHAnsi" w:hAnsiTheme="minorHAnsi"/>
          <w:lang w:val="en-GB"/>
        </w:rPr>
        <w:t xml:space="preserve"> has been increasing. Government’s small investment offers little direct influence</w:t>
      </w:r>
      <w:r w:rsidR="004163B9">
        <w:rPr>
          <w:rFonts w:asciiTheme="minorHAnsi" w:hAnsiTheme="minorHAnsi"/>
          <w:lang w:val="en-GB"/>
        </w:rPr>
        <w:t>.</w:t>
      </w:r>
      <w:r w:rsidR="00B3457B" w:rsidRPr="00D25BE7">
        <w:rPr>
          <w:rFonts w:asciiTheme="minorHAnsi" w:hAnsiTheme="minorHAnsi"/>
          <w:lang w:val="en-GB"/>
        </w:rPr>
        <w:t xml:space="preserve"> </w:t>
      </w:r>
      <w:r w:rsidR="004163B9">
        <w:rPr>
          <w:rFonts w:asciiTheme="minorHAnsi" w:hAnsiTheme="minorHAnsi"/>
          <w:lang w:val="en-GB"/>
        </w:rPr>
        <w:t>U</w:t>
      </w:r>
      <w:r w:rsidR="004F66CE">
        <w:rPr>
          <w:rFonts w:asciiTheme="minorHAnsi" w:hAnsiTheme="minorHAnsi"/>
          <w:lang w:val="en-GB"/>
        </w:rPr>
        <w:t xml:space="preserve">ntil 2017/18 there had been a </w:t>
      </w:r>
      <w:r w:rsidR="00B3457B" w:rsidRPr="00D25BE7">
        <w:rPr>
          <w:rFonts w:asciiTheme="minorHAnsi" w:hAnsiTheme="minorHAnsi"/>
          <w:lang w:val="en-GB"/>
        </w:rPr>
        <w:t xml:space="preserve">steady return </w:t>
      </w:r>
      <w:r w:rsidR="004163B9">
        <w:rPr>
          <w:rFonts w:asciiTheme="minorHAnsi" w:hAnsiTheme="minorHAnsi"/>
          <w:lang w:val="en-GB"/>
        </w:rPr>
        <w:t xml:space="preserve">of </w:t>
      </w:r>
      <w:r w:rsidR="004F66CE">
        <w:rPr>
          <w:rFonts w:asciiTheme="minorHAnsi" w:hAnsiTheme="minorHAnsi"/>
          <w:lang w:val="en-GB"/>
        </w:rPr>
        <w:t>around</w:t>
      </w:r>
      <w:r w:rsidR="004F66CE" w:rsidRPr="00D25BE7">
        <w:rPr>
          <w:rFonts w:asciiTheme="minorHAnsi" w:hAnsiTheme="minorHAnsi"/>
          <w:lang w:val="en-GB"/>
        </w:rPr>
        <w:t xml:space="preserve"> </w:t>
      </w:r>
      <w:r w:rsidR="00B3457B" w:rsidRPr="00D25BE7">
        <w:rPr>
          <w:rFonts w:asciiTheme="minorHAnsi" w:hAnsiTheme="minorHAnsi"/>
          <w:lang w:val="en-GB"/>
        </w:rPr>
        <w:t xml:space="preserve">40%, </w:t>
      </w:r>
      <w:r w:rsidR="004163B9">
        <w:rPr>
          <w:rFonts w:asciiTheme="minorHAnsi" w:hAnsiTheme="minorHAnsi"/>
          <w:lang w:val="en-GB"/>
        </w:rPr>
        <w:t xml:space="preserve">but 2017/18 has seen a drop in revenue and NOPAT and the ROE has dropped to 23%. </w:t>
      </w:r>
      <w:r w:rsidR="00B3457B" w:rsidRPr="00D25BE7">
        <w:rPr>
          <w:rFonts w:asciiTheme="minorHAnsi" w:hAnsiTheme="minorHAnsi"/>
          <w:lang w:val="en-GB"/>
        </w:rPr>
        <w:t>Once again it is mostly about policy decisions for Government to be affiliated with the largest bank and in competition with other banking assets. GoL</w:t>
      </w:r>
      <w:r w:rsidR="000C4E76">
        <w:rPr>
          <w:rFonts w:asciiTheme="minorHAnsi" w:hAnsiTheme="minorHAnsi"/>
          <w:lang w:val="en-GB"/>
        </w:rPr>
        <w:t>’s</w:t>
      </w:r>
      <w:r w:rsidR="00B3457B" w:rsidRPr="00D25BE7">
        <w:rPr>
          <w:rFonts w:asciiTheme="minorHAnsi" w:hAnsiTheme="minorHAnsi"/>
          <w:lang w:val="en-GB"/>
        </w:rPr>
        <w:t xml:space="preserve"> </w:t>
      </w:r>
      <w:r w:rsidR="004F66CE">
        <w:rPr>
          <w:rFonts w:asciiTheme="minorHAnsi" w:hAnsiTheme="minorHAnsi"/>
          <w:lang w:val="en-GB"/>
        </w:rPr>
        <w:t xml:space="preserve">9.6% </w:t>
      </w:r>
      <w:r w:rsidR="000C4E76">
        <w:rPr>
          <w:rFonts w:asciiTheme="minorHAnsi" w:hAnsiTheme="minorHAnsi"/>
          <w:lang w:val="en-GB"/>
        </w:rPr>
        <w:t>equity in the SLB is</w:t>
      </w:r>
      <w:r w:rsidR="00B3457B" w:rsidRPr="00D25BE7">
        <w:rPr>
          <w:rFonts w:asciiTheme="minorHAnsi" w:hAnsiTheme="minorHAnsi"/>
          <w:lang w:val="en-GB"/>
        </w:rPr>
        <w:t xml:space="preserve"> value</w:t>
      </w:r>
      <w:r w:rsidR="000C4E76">
        <w:rPr>
          <w:rFonts w:asciiTheme="minorHAnsi" w:hAnsiTheme="minorHAnsi"/>
          <w:lang w:val="en-GB"/>
        </w:rPr>
        <w:t>d</w:t>
      </w:r>
      <w:r w:rsidR="00B3457B" w:rsidRPr="00D25BE7">
        <w:rPr>
          <w:rFonts w:asciiTheme="minorHAnsi" w:hAnsiTheme="minorHAnsi"/>
          <w:lang w:val="en-GB"/>
        </w:rPr>
        <w:t xml:space="preserve"> </w:t>
      </w:r>
      <w:r w:rsidR="000C4E76">
        <w:rPr>
          <w:rFonts w:asciiTheme="minorHAnsi" w:hAnsiTheme="minorHAnsi"/>
          <w:lang w:val="en-GB"/>
        </w:rPr>
        <w:t>at</w:t>
      </w:r>
      <w:r w:rsidR="000C4E76" w:rsidRPr="00D25BE7">
        <w:rPr>
          <w:rFonts w:asciiTheme="minorHAnsi" w:hAnsiTheme="minorHAnsi"/>
          <w:lang w:val="en-GB"/>
        </w:rPr>
        <w:t xml:space="preserve"> </w:t>
      </w:r>
      <w:r w:rsidR="000C4E76">
        <w:rPr>
          <w:rFonts w:asciiTheme="minorHAnsi" w:hAnsiTheme="minorHAnsi"/>
          <w:lang w:val="en-GB"/>
        </w:rPr>
        <w:t>approximately</w:t>
      </w:r>
      <w:r w:rsidR="000C4E76" w:rsidRPr="00D25BE7">
        <w:rPr>
          <w:rFonts w:asciiTheme="minorHAnsi" w:hAnsiTheme="minorHAnsi"/>
          <w:lang w:val="en-GB"/>
        </w:rPr>
        <w:t xml:space="preserve"> </w:t>
      </w:r>
      <w:r w:rsidR="00B3457B" w:rsidRPr="00D25BE7">
        <w:rPr>
          <w:rFonts w:asciiTheme="minorHAnsi" w:hAnsiTheme="minorHAnsi"/>
          <w:lang w:val="en-GB"/>
        </w:rPr>
        <w:t>M1</w:t>
      </w:r>
      <w:r w:rsidR="006E3A96">
        <w:rPr>
          <w:rFonts w:asciiTheme="minorHAnsi" w:hAnsiTheme="minorHAnsi"/>
          <w:lang w:val="en-GB"/>
        </w:rPr>
        <w:t>3</w:t>
      </w:r>
      <w:r w:rsidR="00B3457B" w:rsidRPr="00D25BE7">
        <w:rPr>
          <w:rFonts w:asciiTheme="minorHAnsi" w:hAnsiTheme="minorHAnsi"/>
          <w:lang w:val="en-GB"/>
        </w:rPr>
        <w:t>0m.</w:t>
      </w:r>
      <w:r w:rsidR="004F66CE">
        <w:rPr>
          <w:rFonts w:asciiTheme="minorHAnsi" w:hAnsiTheme="minorHAnsi"/>
          <w:lang w:val="en-GB"/>
        </w:rPr>
        <w:t xml:space="preserve"> To put this in perspective the 100% value </w:t>
      </w:r>
      <w:r w:rsidR="000C4E76">
        <w:rPr>
          <w:rFonts w:asciiTheme="minorHAnsi" w:hAnsiTheme="minorHAnsi"/>
          <w:lang w:val="en-GB"/>
        </w:rPr>
        <w:t xml:space="preserve">of </w:t>
      </w:r>
      <w:r w:rsidR="004F66CE">
        <w:rPr>
          <w:rFonts w:asciiTheme="minorHAnsi" w:hAnsiTheme="minorHAnsi"/>
          <w:lang w:val="en-GB"/>
        </w:rPr>
        <w:t xml:space="preserve">Lesotho Post Bank is </w:t>
      </w:r>
      <w:r w:rsidR="000C4E76">
        <w:rPr>
          <w:rFonts w:asciiTheme="minorHAnsi" w:hAnsiTheme="minorHAnsi"/>
          <w:lang w:val="en-GB"/>
        </w:rPr>
        <w:t xml:space="preserve">approximately </w:t>
      </w:r>
      <w:r w:rsidR="004F66CE">
        <w:rPr>
          <w:rFonts w:asciiTheme="minorHAnsi" w:hAnsiTheme="minorHAnsi"/>
          <w:lang w:val="en-GB"/>
        </w:rPr>
        <w:t>M147m.</w:t>
      </w:r>
    </w:p>
    <w:p w14:paraId="390B0AB2" w14:textId="06A7964F" w:rsidR="00D71E7D" w:rsidRPr="009C6618" w:rsidRDefault="00D71E7D" w:rsidP="00D71E7D">
      <w:pPr>
        <w:ind w:firstLine="426"/>
        <w:rPr>
          <w:rFonts w:asciiTheme="minorHAnsi" w:hAnsiTheme="minorHAnsi"/>
          <w:b/>
          <w:sz w:val="20"/>
          <w:lang w:val="en-GB"/>
        </w:rPr>
      </w:pPr>
      <w:r w:rsidRPr="00F33275">
        <w:rPr>
          <w:rFonts w:asciiTheme="minorHAnsi" w:hAnsiTheme="minorHAnsi"/>
          <w:b/>
          <w:sz w:val="20"/>
          <w:lang w:val="en-GB"/>
        </w:rPr>
        <w:t>Figure 2</w:t>
      </w:r>
      <w:r w:rsidR="005E3EE0" w:rsidRPr="00F33275">
        <w:rPr>
          <w:rFonts w:asciiTheme="minorHAnsi" w:hAnsiTheme="minorHAnsi"/>
          <w:b/>
          <w:sz w:val="20"/>
          <w:lang w:val="en-GB"/>
        </w:rPr>
        <w:t>6</w:t>
      </w:r>
      <w:r w:rsidRPr="00F33275">
        <w:rPr>
          <w:rFonts w:asciiTheme="minorHAnsi" w:hAnsiTheme="minorHAnsi"/>
          <w:b/>
          <w:sz w:val="20"/>
          <w:lang w:val="en-GB"/>
        </w:rPr>
        <w:t>:</w:t>
      </w:r>
      <w:r w:rsidR="005E3EE0" w:rsidRPr="000C4E76">
        <w:rPr>
          <w:rFonts w:asciiTheme="minorHAnsi" w:hAnsiTheme="minorHAnsi"/>
          <w:b/>
          <w:sz w:val="20"/>
          <w:lang w:val="en-GB"/>
        </w:rPr>
        <w:t xml:space="preserve"> SLB</w:t>
      </w:r>
      <w:r w:rsidR="005E3EE0">
        <w:rPr>
          <w:rFonts w:asciiTheme="minorHAnsi" w:hAnsiTheme="minorHAnsi"/>
          <w:b/>
          <w:sz w:val="20"/>
          <w:lang w:val="en-GB"/>
        </w:rPr>
        <w:t xml:space="preserve"> Returns 2014/15 to 2017/18</w:t>
      </w:r>
    </w:p>
    <w:p w14:paraId="77A62654" w14:textId="43993A25" w:rsidR="00D71E7D" w:rsidRPr="00D25BE7" w:rsidRDefault="00D71E7D" w:rsidP="00D71E7D">
      <w:pPr>
        <w:ind w:left="426"/>
        <w:rPr>
          <w:rFonts w:asciiTheme="minorHAnsi" w:hAnsiTheme="minorHAnsi"/>
          <w:color w:val="000000" w:themeColor="text1"/>
          <w:szCs w:val="22"/>
          <w:lang w:val="en-GB"/>
        </w:rPr>
      </w:pPr>
    </w:p>
    <w:p w14:paraId="3C195249" w14:textId="04A3FD35" w:rsidR="00D71E7D" w:rsidRPr="00D25BE7" w:rsidRDefault="00D71E7D" w:rsidP="00D71E7D">
      <w:pPr>
        <w:rPr>
          <w:rFonts w:asciiTheme="minorHAnsi" w:hAnsiTheme="minorHAnsi"/>
          <w:color w:val="000000" w:themeColor="text1"/>
          <w:szCs w:val="22"/>
          <w:lang w:val="en-GB"/>
        </w:rPr>
      </w:pPr>
    </w:p>
    <w:p w14:paraId="223581AB" w14:textId="423AD4BC" w:rsidR="00ED4E59" w:rsidRDefault="00183050" w:rsidP="00D71E7D">
      <w:pPr>
        <w:rPr>
          <w:rFonts w:asciiTheme="minorHAnsi" w:hAnsiTheme="minorHAnsi"/>
          <w:color w:val="000000" w:themeColor="text1"/>
          <w:szCs w:val="22"/>
          <w:lang w:val="en-GB"/>
        </w:rPr>
      </w:pPr>
      <w:r>
        <w:rPr>
          <w:noProof/>
        </w:rPr>
        <w:drawing>
          <wp:inline distT="0" distB="0" distL="0" distR="0" wp14:anchorId="66000C4F" wp14:editId="7D16B540">
            <wp:extent cx="4688840" cy="2628900"/>
            <wp:effectExtent l="25400" t="25400" r="111760" b="889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8CCDF12" w14:textId="7AA25B6A" w:rsidR="000C4E76" w:rsidRPr="00A01B38" w:rsidRDefault="000C4E76" w:rsidP="000C4E76">
      <w:pPr>
        <w:ind w:firstLine="567"/>
        <w:rPr>
          <w:rFonts w:asciiTheme="minorHAnsi" w:hAnsiTheme="minorHAnsi"/>
          <w:i/>
          <w:sz w:val="18"/>
          <w:szCs w:val="18"/>
          <w:lang w:val="en-GB"/>
        </w:rPr>
      </w:pPr>
      <w:r w:rsidRPr="00A01B38">
        <w:rPr>
          <w:rFonts w:asciiTheme="minorHAnsi" w:hAnsiTheme="minorHAnsi"/>
          <w:i/>
          <w:sz w:val="18"/>
          <w:szCs w:val="18"/>
          <w:lang w:val="en-GB"/>
        </w:rPr>
        <w:t xml:space="preserve">Source: </w:t>
      </w:r>
      <w:r>
        <w:rPr>
          <w:rFonts w:asciiTheme="minorHAnsi" w:hAnsiTheme="minorHAnsi"/>
          <w:i/>
          <w:sz w:val="18"/>
          <w:szCs w:val="18"/>
          <w:lang w:val="en-GB"/>
        </w:rPr>
        <w:t>SLB</w:t>
      </w:r>
      <w:r w:rsidRPr="00A01B38">
        <w:rPr>
          <w:rFonts w:asciiTheme="minorHAnsi" w:hAnsiTheme="minorHAnsi"/>
          <w:i/>
          <w:sz w:val="18"/>
          <w:szCs w:val="18"/>
          <w:lang w:val="en-GB"/>
        </w:rPr>
        <w:t xml:space="preserve"> AFS Various Years</w:t>
      </w:r>
    </w:p>
    <w:p w14:paraId="3EBBC76C" w14:textId="77777777" w:rsidR="00335099" w:rsidRPr="00D25BE7" w:rsidRDefault="00335099" w:rsidP="00D71E7D">
      <w:pPr>
        <w:rPr>
          <w:rFonts w:asciiTheme="minorHAnsi" w:hAnsiTheme="minorHAnsi"/>
          <w:color w:val="000000" w:themeColor="text1"/>
          <w:szCs w:val="22"/>
          <w:lang w:val="en-GB"/>
        </w:rPr>
      </w:pPr>
    </w:p>
    <w:p w14:paraId="5C4A626E" w14:textId="75874F9C" w:rsidR="00ED4E59" w:rsidRPr="00713392" w:rsidRDefault="00535B09" w:rsidP="00713392">
      <w:pPr>
        <w:pStyle w:val="ListParagraph"/>
        <w:ind w:left="426" w:hanging="426"/>
        <w:rPr>
          <w:rFonts w:asciiTheme="minorHAnsi" w:hAnsiTheme="minorHAnsi"/>
          <w:color w:val="000000" w:themeColor="text1"/>
          <w:szCs w:val="22"/>
          <w:lang w:val="en-GB"/>
        </w:rPr>
      </w:pPr>
      <w:r w:rsidRPr="00D25BE7">
        <w:rPr>
          <w:rFonts w:asciiTheme="minorHAnsi" w:hAnsiTheme="minorHAnsi"/>
          <w:lang w:val="en-GB"/>
        </w:rPr>
        <w:t>The falling trends depicted in the graph</w:t>
      </w:r>
      <w:r>
        <w:rPr>
          <w:rFonts w:asciiTheme="minorHAnsi" w:hAnsiTheme="minorHAnsi"/>
          <w:lang w:val="en-GB"/>
        </w:rPr>
        <w:t xml:space="preserve"> above</w:t>
      </w:r>
      <w:r w:rsidRPr="00D25BE7">
        <w:rPr>
          <w:rFonts w:asciiTheme="minorHAnsi" w:hAnsiTheme="minorHAnsi"/>
          <w:lang w:val="en-GB"/>
        </w:rPr>
        <w:t xml:space="preserve"> is </w:t>
      </w:r>
      <w:r>
        <w:rPr>
          <w:rFonts w:asciiTheme="minorHAnsi" w:hAnsiTheme="minorHAnsi"/>
          <w:lang w:val="en-GB"/>
        </w:rPr>
        <w:t>of</w:t>
      </w:r>
      <w:r w:rsidRPr="00D25BE7">
        <w:rPr>
          <w:rFonts w:asciiTheme="minorHAnsi" w:hAnsiTheme="minorHAnsi"/>
          <w:lang w:val="en-GB"/>
        </w:rPr>
        <w:t xml:space="preserve"> concern, being that growth across each element (revenue, profits, assets and equity) </w:t>
      </w:r>
      <w:r>
        <w:rPr>
          <w:rFonts w:asciiTheme="minorHAnsi" w:hAnsiTheme="minorHAnsi"/>
          <w:lang w:val="en-GB"/>
        </w:rPr>
        <w:t>had been</w:t>
      </w:r>
      <w:r w:rsidRPr="00D25BE7">
        <w:rPr>
          <w:rFonts w:asciiTheme="minorHAnsi" w:hAnsiTheme="minorHAnsi"/>
          <w:lang w:val="en-GB"/>
        </w:rPr>
        <w:t xml:space="preserve"> strong over time. This might suggest </w:t>
      </w:r>
      <w:r>
        <w:rPr>
          <w:rFonts w:asciiTheme="minorHAnsi" w:hAnsiTheme="minorHAnsi"/>
          <w:lang w:val="en-GB"/>
        </w:rPr>
        <w:t>SLB</w:t>
      </w:r>
      <w:r w:rsidRPr="00D25BE7">
        <w:rPr>
          <w:rFonts w:asciiTheme="minorHAnsi" w:hAnsiTheme="minorHAnsi"/>
          <w:lang w:val="en-GB"/>
        </w:rPr>
        <w:t xml:space="preserve"> is </w:t>
      </w:r>
      <w:r>
        <w:rPr>
          <w:rFonts w:asciiTheme="minorHAnsi" w:hAnsiTheme="minorHAnsi"/>
          <w:lang w:val="en-GB"/>
        </w:rPr>
        <w:t xml:space="preserve">facing stronger competition </w:t>
      </w:r>
      <w:r w:rsidRPr="00D25BE7">
        <w:rPr>
          <w:rFonts w:asciiTheme="minorHAnsi" w:hAnsiTheme="minorHAnsi"/>
          <w:lang w:val="en-GB"/>
        </w:rPr>
        <w:t xml:space="preserve">and cannot sustain rates of growth </w:t>
      </w:r>
      <w:r>
        <w:rPr>
          <w:rFonts w:asciiTheme="minorHAnsi" w:hAnsiTheme="minorHAnsi"/>
          <w:lang w:val="en-GB"/>
        </w:rPr>
        <w:t>seen in the years before 2104/15.</w:t>
      </w:r>
    </w:p>
    <w:p w14:paraId="32769868" w14:textId="065D52CD" w:rsidR="00D71E7D" w:rsidRPr="00D25BE7" w:rsidRDefault="00D71E7D" w:rsidP="00D71E7D">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lang w:val="en-GB"/>
        </w:rPr>
        <w:t>Relevant performance data for FY’1</w:t>
      </w:r>
      <w:r w:rsidR="003151C4">
        <w:rPr>
          <w:rFonts w:asciiTheme="minorHAnsi" w:hAnsiTheme="minorHAnsi"/>
          <w:color w:val="000000" w:themeColor="text1"/>
          <w:lang w:val="en-GB"/>
        </w:rPr>
        <w:t>8</w:t>
      </w:r>
      <w:r w:rsidRPr="00D25BE7">
        <w:rPr>
          <w:rFonts w:asciiTheme="minorHAnsi" w:hAnsiTheme="minorHAnsi"/>
          <w:color w:val="000000" w:themeColor="text1"/>
          <w:lang w:val="en-GB"/>
        </w:rPr>
        <w:t xml:space="preserve"> is:</w:t>
      </w:r>
    </w:p>
    <w:p w14:paraId="0AC1981D" w14:textId="63061419" w:rsidR="00D71E7D" w:rsidRPr="001B39C9" w:rsidRDefault="00D71E7D" w:rsidP="00D71E7D">
      <w:pPr>
        <w:rPr>
          <w:rFonts w:asciiTheme="minorHAnsi" w:hAnsiTheme="minorHAnsi"/>
          <w:b/>
          <w:sz w:val="20"/>
          <w:lang w:val="en-GB"/>
        </w:rPr>
      </w:pPr>
      <w:r w:rsidRPr="00713392">
        <w:rPr>
          <w:rFonts w:asciiTheme="minorHAnsi" w:hAnsiTheme="minorHAnsi"/>
          <w:b/>
          <w:sz w:val="20"/>
          <w:lang w:val="en-GB"/>
        </w:rPr>
        <w:t xml:space="preserve">Table </w:t>
      </w:r>
      <w:r w:rsidR="00ED4E59" w:rsidRPr="00713392">
        <w:rPr>
          <w:rFonts w:asciiTheme="minorHAnsi" w:hAnsiTheme="minorHAnsi"/>
          <w:b/>
          <w:sz w:val="20"/>
          <w:lang w:val="en-GB"/>
        </w:rPr>
        <w:t>2</w:t>
      </w:r>
      <w:r w:rsidR="00335099" w:rsidRPr="00713392">
        <w:rPr>
          <w:rFonts w:asciiTheme="minorHAnsi" w:hAnsiTheme="minorHAnsi"/>
          <w:b/>
          <w:sz w:val="20"/>
          <w:lang w:val="en-GB"/>
        </w:rPr>
        <w:t>5</w:t>
      </w:r>
      <w:r w:rsidRPr="00713392">
        <w:rPr>
          <w:rFonts w:asciiTheme="minorHAnsi" w:hAnsiTheme="minorHAnsi"/>
          <w:b/>
          <w:sz w:val="20"/>
          <w:lang w:val="en-GB"/>
        </w:rPr>
        <w:t>: Performance Highlights – Standard</w:t>
      </w:r>
      <w:r w:rsidR="009B52FB" w:rsidRPr="00713392">
        <w:rPr>
          <w:rFonts w:asciiTheme="minorHAnsi" w:hAnsiTheme="minorHAnsi"/>
          <w:b/>
          <w:sz w:val="20"/>
          <w:lang w:val="en-GB"/>
        </w:rPr>
        <w:t xml:space="preserve"> </w:t>
      </w:r>
      <w:r w:rsidR="004D1121" w:rsidRPr="00713392">
        <w:rPr>
          <w:rFonts w:asciiTheme="minorHAnsi" w:hAnsiTheme="minorHAnsi"/>
          <w:b/>
          <w:sz w:val="20"/>
          <w:lang w:val="en-GB"/>
        </w:rPr>
        <w:t xml:space="preserve">Lesotho </w:t>
      </w:r>
      <w:r w:rsidR="009B52FB" w:rsidRPr="00713392">
        <w:rPr>
          <w:rFonts w:asciiTheme="minorHAnsi" w:hAnsiTheme="minorHAnsi"/>
          <w:b/>
          <w:sz w:val="20"/>
          <w:lang w:val="en-GB"/>
        </w:rPr>
        <w:t>Bank</w:t>
      </w:r>
    </w:p>
    <w:p w14:paraId="24981857" w14:textId="77777777" w:rsidR="004D1121" w:rsidRPr="00D25BE7" w:rsidRDefault="004D1121" w:rsidP="00D71E7D">
      <w:pPr>
        <w:rPr>
          <w:rFonts w:asciiTheme="minorHAnsi" w:hAnsiTheme="minorHAnsi"/>
          <w:sz w:val="18"/>
          <w:szCs w:val="1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8"/>
        <w:gridCol w:w="1276"/>
        <w:gridCol w:w="1276"/>
        <w:gridCol w:w="1276"/>
        <w:gridCol w:w="1276"/>
        <w:gridCol w:w="1276"/>
      </w:tblGrid>
      <w:tr w:rsidR="009B52FB" w:rsidRPr="00F33275" w14:paraId="54C136CD" w14:textId="77777777" w:rsidTr="00F33275">
        <w:trPr>
          <w:trHeight w:val="360"/>
          <w:tblHeader/>
          <w:jc w:val="center"/>
        </w:trPr>
        <w:tc>
          <w:tcPr>
            <w:tcW w:w="2008" w:type="dxa"/>
            <w:shd w:val="clear" w:color="auto" w:fill="D9D9D9" w:themeFill="background1" w:themeFillShade="D9"/>
            <w:noWrap/>
            <w:vAlign w:val="center"/>
            <w:hideMark/>
          </w:tcPr>
          <w:p w14:paraId="3FF54B34" w14:textId="77777777" w:rsidR="009B52FB" w:rsidRPr="00F33275" w:rsidRDefault="009B52FB" w:rsidP="005A1DD4">
            <w:pPr>
              <w:ind w:firstLine="42"/>
              <w:rPr>
                <w:rFonts w:asciiTheme="minorHAnsi" w:hAnsiTheme="minorHAnsi"/>
                <w:sz w:val="18"/>
                <w:szCs w:val="18"/>
                <w:lang w:eastAsia="en-GB"/>
              </w:rPr>
            </w:pPr>
            <w:r w:rsidRPr="00F33275">
              <w:rPr>
                <w:rFonts w:asciiTheme="minorHAnsi" w:hAnsiTheme="minorHAnsi"/>
                <w:sz w:val="18"/>
                <w:szCs w:val="18"/>
                <w:lang w:eastAsia="en-GB"/>
              </w:rPr>
              <w:t>Performance Highlights (M '000)</w:t>
            </w:r>
          </w:p>
        </w:tc>
        <w:tc>
          <w:tcPr>
            <w:tcW w:w="1276" w:type="dxa"/>
            <w:shd w:val="clear" w:color="auto" w:fill="D9D9D9" w:themeFill="background1" w:themeFillShade="D9"/>
            <w:vAlign w:val="center"/>
          </w:tcPr>
          <w:p w14:paraId="4052EC59" w14:textId="77777777" w:rsidR="009B52FB" w:rsidRPr="00F33275" w:rsidRDefault="009B52FB" w:rsidP="005A1DD4">
            <w:pPr>
              <w:jc w:val="center"/>
              <w:rPr>
                <w:rFonts w:asciiTheme="minorHAnsi" w:hAnsiTheme="minorHAnsi" w:cstheme="minorHAnsi"/>
                <w:b/>
                <w:bCs/>
                <w:color w:val="000000"/>
                <w:sz w:val="18"/>
                <w:szCs w:val="18"/>
                <w:lang w:eastAsia="en-GB"/>
              </w:rPr>
            </w:pPr>
            <w:r w:rsidRPr="00F33275">
              <w:rPr>
                <w:rFonts w:asciiTheme="minorHAnsi" w:hAnsiTheme="minorHAnsi" w:cstheme="minorHAnsi"/>
                <w:b/>
                <w:bCs/>
                <w:sz w:val="18"/>
                <w:szCs w:val="18"/>
                <w:lang w:eastAsia="en-GB"/>
              </w:rPr>
              <w:t>2014/15</w:t>
            </w:r>
          </w:p>
        </w:tc>
        <w:tc>
          <w:tcPr>
            <w:tcW w:w="1276" w:type="dxa"/>
            <w:shd w:val="clear" w:color="auto" w:fill="D9D9D9" w:themeFill="background1" w:themeFillShade="D9"/>
            <w:vAlign w:val="center"/>
          </w:tcPr>
          <w:p w14:paraId="4841DFBC" w14:textId="77777777" w:rsidR="009B52FB" w:rsidRPr="00F33275" w:rsidRDefault="009B52FB" w:rsidP="005A1DD4">
            <w:pPr>
              <w:jc w:val="center"/>
              <w:rPr>
                <w:rFonts w:asciiTheme="minorHAnsi" w:hAnsiTheme="minorHAnsi" w:cstheme="minorHAnsi"/>
                <w:b/>
                <w:bCs/>
                <w:color w:val="000000"/>
                <w:sz w:val="18"/>
                <w:szCs w:val="18"/>
                <w:lang w:eastAsia="en-GB"/>
              </w:rPr>
            </w:pPr>
            <w:r w:rsidRPr="00F33275">
              <w:rPr>
                <w:rFonts w:asciiTheme="minorHAnsi" w:hAnsiTheme="minorHAnsi" w:cstheme="minorHAnsi"/>
                <w:b/>
                <w:bCs/>
                <w:sz w:val="18"/>
                <w:szCs w:val="18"/>
                <w:lang w:eastAsia="en-GB"/>
              </w:rPr>
              <w:t>2015/16</w:t>
            </w:r>
          </w:p>
        </w:tc>
        <w:tc>
          <w:tcPr>
            <w:tcW w:w="1276" w:type="dxa"/>
            <w:shd w:val="clear" w:color="auto" w:fill="D9D9D9" w:themeFill="background1" w:themeFillShade="D9"/>
            <w:vAlign w:val="center"/>
            <w:hideMark/>
          </w:tcPr>
          <w:p w14:paraId="2230FB20" w14:textId="77777777" w:rsidR="009B52FB" w:rsidRPr="00F33275" w:rsidRDefault="009B52FB" w:rsidP="005A1DD4">
            <w:pPr>
              <w:jc w:val="center"/>
              <w:rPr>
                <w:rFonts w:asciiTheme="minorHAnsi" w:hAnsiTheme="minorHAnsi" w:cstheme="minorHAnsi"/>
                <w:b/>
                <w:bCs/>
                <w:sz w:val="18"/>
                <w:szCs w:val="18"/>
                <w:lang w:eastAsia="en-GB"/>
              </w:rPr>
            </w:pPr>
            <w:r w:rsidRPr="00F33275">
              <w:rPr>
                <w:rFonts w:asciiTheme="minorHAnsi" w:hAnsiTheme="minorHAnsi" w:cstheme="minorHAnsi"/>
                <w:b/>
                <w:bCs/>
                <w:sz w:val="18"/>
                <w:szCs w:val="18"/>
                <w:lang w:eastAsia="en-GB"/>
              </w:rPr>
              <w:t>2016/17</w:t>
            </w:r>
          </w:p>
        </w:tc>
        <w:tc>
          <w:tcPr>
            <w:tcW w:w="1276" w:type="dxa"/>
            <w:shd w:val="clear" w:color="auto" w:fill="D9D9D9" w:themeFill="background1" w:themeFillShade="D9"/>
            <w:vAlign w:val="center"/>
          </w:tcPr>
          <w:p w14:paraId="7E9D969F" w14:textId="3442EFC8" w:rsidR="009B52FB" w:rsidRPr="00F33275" w:rsidRDefault="009B52FB" w:rsidP="005A1DD4">
            <w:pPr>
              <w:jc w:val="center"/>
              <w:rPr>
                <w:rFonts w:asciiTheme="minorHAnsi" w:hAnsiTheme="minorHAnsi" w:cstheme="minorHAnsi"/>
                <w:b/>
                <w:bCs/>
                <w:color w:val="000000"/>
                <w:sz w:val="18"/>
                <w:szCs w:val="18"/>
                <w:lang w:eastAsia="en-GB"/>
              </w:rPr>
            </w:pPr>
            <w:r w:rsidRPr="00F33275">
              <w:rPr>
                <w:rFonts w:asciiTheme="minorHAnsi" w:hAnsiTheme="minorHAnsi" w:cstheme="minorHAnsi"/>
                <w:b/>
                <w:bCs/>
                <w:sz w:val="18"/>
                <w:szCs w:val="18"/>
                <w:lang w:eastAsia="en-GB"/>
              </w:rPr>
              <w:t>2017/18</w:t>
            </w:r>
          </w:p>
        </w:tc>
        <w:tc>
          <w:tcPr>
            <w:tcW w:w="1276" w:type="dxa"/>
            <w:shd w:val="clear" w:color="auto" w:fill="D9D9D9" w:themeFill="background1" w:themeFillShade="D9"/>
            <w:noWrap/>
            <w:vAlign w:val="center"/>
            <w:hideMark/>
          </w:tcPr>
          <w:p w14:paraId="4C1ECD92" w14:textId="4223CD7E" w:rsidR="009B52FB" w:rsidRPr="00F33275" w:rsidRDefault="009B52FB" w:rsidP="005A1DD4">
            <w:pPr>
              <w:jc w:val="center"/>
              <w:rPr>
                <w:rFonts w:asciiTheme="minorHAnsi" w:hAnsiTheme="minorHAnsi" w:cstheme="minorHAnsi"/>
                <w:b/>
                <w:bCs/>
                <w:color w:val="000000"/>
                <w:sz w:val="18"/>
                <w:szCs w:val="18"/>
                <w:lang w:eastAsia="en-GB"/>
              </w:rPr>
            </w:pPr>
            <w:r w:rsidRPr="00F33275">
              <w:rPr>
                <w:rFonts w:asciiTheme="minorHAnsi" w:hAnsiTheme="minorHAnsi" w:cstheme="minorHAnsi"/>
                <w:b/>
                <w:bCs/>
                <w:color w:val="000000"/>
                <w:sz w:val="18"/>
                <w:szCs w:val="18"/>
                <w:lang w:eastAsia="en-GB"/>
              </w:rPr>
              <w:t>4-yr Average</w:t>
            </w:r>
          </w:p>
        </w:tc>
      </w:tr>
      <w:tr w:rsidR="009B52FB" w:rsidRPr="00F33275" w14:paraId="5B2C9922" w14:textId="77777777" w:rsidTr="00F33275">
        <w:trPr>
          <w:trHeight w:val="360"/>
          <w:jc w:val="center"/>
        </w:trPr>
        <w:tc>
          <w:tcPr>
            <w:tcW w:w="2008" w:type="dxa"/>
            <w:shd w:val="clear" w:color="000000" w:fill="FFFFFF"/>
            <w:noWrap/>
            <w:vAlign w:val="center"/>
            <w:hideMark/>
          </w:tcPr>
          <w:p w14:paraId="13602B5F"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Total Revenue</w:t>
            </w:r>
          </w:p>
        </w:tc>
        <w:tc>
          <w:tcPr>
            <w:tcW w:w="1276" w:type="dxa"/>
            <w:vAlign w:val="center"/>
          </w:tcPr>
          <w:p w14:paraId="6B6C8744" w14:textId="26AE31E3"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1,008,956</w:t>
            </w:r>
          </w:p>
        </w:tc>
        <w:tc>
          <w:tcPr>
            <w:tcW w:w="1276" w:type="dxa"/>
            <w:vAlign w:val="center"/>
          </w:tcPr>
          <w:p w14:paraId="3D8E3EE7" w14:textId="7D382670"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1,099,927</w:t>
            </w:r>
          </w:p>
        </w:tc>
        <w:tc>
          <w:tcPr>
            <w:tcW w:w="1276" w:type="dxa"/>
            <w:shd w:val="clear" w:color="auto" w:fill="auto"/>
            <w:noWrap/>
            <w:vAlign w:val="center"/>
            <w:hideMark/>
          </w:tcPr>
          <w:p w14:paraId="150FFFDC" w14:textId="020EF406"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1,240,015</w:t>
            </w:r>
          </w:p>
        </w:tc>
        <w:tc>
          <w:tcPr>
            <w:tcW w:w="1276" w:type="dxa"/>
            <w:vAlign w:val="center"/>
          </w:tcPr>
          <w:p w14:paraId="17A5A1C7" w14:textId="604D21D7" w:rsidR="009B52FB" w:rsidRPr="00F33275" w:rsidRDefault="007374AD" w:rsidP="00185C1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1,227,929</w:t>
            </w:r>
          </w:p>
        </w:tc>
        <w:tc>
          <w:tcPr>
            <w:tcW w:w="1276" w:type="dxa"/>
            <w:shd w:val="clear" w:color="auto" w:fill="auto"/>
            <w:noWrap/>
            <w:vAlign w:val="center"/>
            <w:hideMark/>
          </w:tcPr>
          <w:p w14:paraId="21D74988" w14:textId="453E35CC" w:rsidR="009B52FB" w:rsidRPr="00F33275" w:rsidRDefault="00176B4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1,144,207</w:t>
            </w:r>
          </w:p>
        </w:tc>
      </w:tr>
      <w:tr w:rsidR="009B52FB" w:rsidRPr="00F33275" w14:paraId="0BD02DC6" w14:textId="77777777" w:rsidTr="00F33275">
        <w:trPr>
          <w:trHeight w:val="360"/>
          <w:jc w:val="center"/>
        </w:trPr>
        <w:tc>
          <w:tcPr>
            <w:tcW w:w="2008" w:type="dxa"/>
            <w:shd w:val="clear" w:color="000000" w:fill="FFFFFF"/>
            <w:noWrap/>
            <w:vAlign w:val="center"/>
            <w:hideMark/>
          </w:tcPr>
          <w:p w14:paraId="58FB8611"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Net Operating Profit After Tax</w:t>
            </w:r>
          </w:p>
        </w:tc>
        <w:tc>
          <w:tcPr>
            <w:tcW w:w="1276" w:type="dxa"/>
            <w:vAlign w:val="center"/>
          </w:tcPr>
          <w:p w14:paraId="4453166A" w14:textId="30650C60"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317,752</w:t>
            </w:r>
          </w:p>
        </w:tc>
        <w:tc>
          <w:tcPr>
            <w:tcW w:w="1276" w:type="dxa"/>
            <w:vAlign w:val="center"/>
          </w:tcPr>
          <w:p w14:paraId="428FAAFD" w14:textId="1F2B5898"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344,261</w:t>
            </w:r>
          </w:p>
        </w:tc>
        <w:tc>
          <w:tcPr>
            <w:tcW w:w="1276" w:type="dxa"/>
            <w:shd w:val="clear" w:color="auto" w:fill="auto"/>
            <w:noWrap/>
            <w:vAlign w:val="center"/>
            <w:hideMark/>
          </w:tcPr>
          <w:p w14:paraId="1C9F7485" w14:textId="22F3F80C"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387,698</w:t>
            </w:r>
          </w:p>
        </w:tc>
        <w:tc>
          <w:tcPr>
            <w:tcW w:w="1276" w:type="dxa"/>
            <w:tcBorders>
              <w:bottom w:val="single" w:sz="4" w:space="0" w:color="auto"/>
            </w:tcBorders>
            <w:vAlign w:val="center"/>
          </w:tcPr>
          <w:p w14:paraId="423A461E" w14:textId="50D12EB1" w:rsidR="009B52FB" w:rsidRPr="00F33275" w:rsidRDefault="004C2418" w:rsidP="00185C1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299,575</w:t>
            </w:r>
          </w:p>
        </w:tc>
        <w:tc>
          <w:tcPr>
            <w:tcW w:w="1276" w:type="dxa"/>
            <w:shd w:val="clear" w:color="auto" w:fill="auto"/>
            <w:noWrap/>
            <w:vAlign w:val="center"/>
            <w:hideMark/>
          </w:tcPr>
          <w:p w14:paraId="2C45C62B" w14:textId="7EA2BD34" w:rsidR="009B52FB" w:rsidRPr="00F33275" w:rsidRDefault="00176B4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337,322</w:t>
            </w:r>
          </w:p>
        </w:tc>
      </w:tr>
      <w:tr w:rsidR="009B52FB" w:rsidRPr="00F33275" w14:paraId="63816CD2" w14:textId="77777777" w:rsidTr="00F33275">
        <w:trPr>
          <w:trHeight w:val="360"/>
          <w:jc w:val="center"/>
        </w:trPr>
        <w:tc>
          <w:tcPr>
            <w:tcW w:w="2008" w:type="dxa"/>
            <w:shd w:val="clear" w:color="000000" w:fill="FFFFFF"/>
            <w:noWrap/>
            <w:vAlign w:val="center"/>
            <w:hideMark/>
          </w:tcPr>
          <w:p w14:paraId="4C78C9B7" w14:textId="48D11243"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Dividends Paid to GoL</w:t>
            </w:r>
          </w:p>
        </w:tc>
        <w:tc>
          <w:tcPr>
            <w:tcW w:w="1276" w:type="dxa"/>
            <w:vAlign w:val="center"/>
          </w:tcPr>
          <w:p w14:paraId="50DF4194" w14:textId="357BA46A"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19,200  </w:t>
            </w:r>
          </w:p>
        </w:tc>
        <w:tc>
          <w:tcPr>
            <w:tcW w:w="1276" w:type="dxa"/>
            <w:vAlign w:val="center"/>
          </w:tcPr>
          <w:p w14:paraId="1FE3AB47" w14:textId="6BF27F19"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24,000  </w:t>
            </w:r>
          </w:p>
        </w:tc>
        <w:tc>
          <w:tcPr>
            <w:tcW w:w="1276" w:type="dxa"/>
            <w:shd w:val="clear" w:color="auto" w:fill="auto"/>
            <w:noWrap/>
            <w:vAlign w:val="center"/>
            <w:hideMark/>
          </w:tcPr>
          <w:p w14:paraId="7C2E7478" w14:textId="3C946940"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24,000  </w:t>
            </w:r>
          </w:p>
        </w:tc>
        <w:tc>
          <w:tcPr>
            <w:tcW w:w="1276" w:type="dxa"/>
            <w:shd w:val="clear" w:color="auto" w:fill="auto"/>
            <w:vAlign w:val="center"/>
          </w:tcPr>
          <w:p w14:paraId="418522E3" w14:textId="397563DA" w:rsidR="009B52FB" w:rsidRPr="00F33275" w:rsidRDefault="00581CE2" w:rsidP="001B39C9">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24,000</w:t>
            </w:r>
          </w:p>
        </w:tc>
        <w:tc>
          <w:tcPr>
            <w:tcW w:w="1276" w:type="dxa"/>
            <w:shd w:val="clear" w:color="auto" w:fill="auto"/>
            <w:noWrap/>
            <w:vAlign w:val="center"/>
            <w:hideMark/>
          </w:tcPr>
          <w:p w14:paraId="1D3709D8" w14:textId="44417BE3" w:rsidR="009B52FB" w:rsidRPr="00F33275" w:rsidRDefault="00176B4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22,800</w:t>
            </w:r>
            <w:r w:rsidR="009B52FB" w:rsidRPr="00F33275">
              <w:rPr>
                <w:rFonts w:asciiTheme="minorHAnsi" w:hAnsiTheme="minorHAnsi" w:cstheme="minorHAnsi"/>
                <w:color w:val="000000" w:themeColor="text1"/>
                <w:sz w:val="18"/>
                <w:szCs w:val="18"/>
                <w:lang w:eastAsia="en-GB"/>
              </w:rPr>
              <w:t xml:space="preserve"> </w:t>
            </w:r>
          </w:p>
        </w:tc>
      </w:tr>
      <w:tr w:rsidR="009B52FB" w:rsidRPr="00F33275" w14:paraId="64CAA341" w14:textId="77777777" w:rsidTr="00F33275">
        <w:trPr>
          <w:trHeight w:val="360"/>
          <w:jc w:val="center"/>
        </w:trPr>
        <w:tc>
          <w:tcPr>
            <w:tcW w:w="2008" w:type="dxa"/>
            <w:shd w:val="clear" w:color="000000" w:fill="FFFFFF"/>
            <w:noWrap/>
            <w:vAlign w:val="center"/>
            <w:hideMark/>
          </w:tcPr>
          <w:p w14:paraId="7738ADD2"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Total Assets</w:t>
            </w:r>
          </w:p>
        </w:tc>
        <w:tc>
          <w:tcPr>
            <w:tcW w:w="1276" w:type="dxa"/>
            <w:vAlign w:val="center"/>
          </w:tcPr>
          <w:p w14:paraId="547142F4" w14:textId="2060AF97"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6,995,120</w:t>
            </w:r>
          </w:p>
        </w:tc>
        <w:tc>
          <w:tcPr>
            <w:tcW w:w="1276" w:type="dxa"/>
            <w:vAlign w:val="center"/>
          </w:tcPr>
          <w:p w14:paraId="1822799D" w14:textId="5F746441"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8,214,930</w:t>
            </w:r>
          </w:p>
        </w:tc>
        <w:tc>
          <w:tcPr>
            <w:tcW w:w="1276" w:type="dxa"/>
            <w:shd w:val="clear" w:color="auto" w:fill="auto"/>
            <w:noWrap/>
            <w:vAlign w:val="center"/>
          </w:tcPr>
          <w:p w14:paraId="7DA02FE2" w14:textId="0080CEC3"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6,834,533</w:t>
            </w:r>
          </w:p>
        </w:tc>
        <w:tc>
          <w:tcPr>
            <w:tcW w:w="1276" w:type="dxa"/>
            <w:vAlign w:val="center"/>
          </w:tcPr>
          <w:p w14:paraId="0833AB57" w14:textId="2AFE4FEF" w:rsidR="009B52FB" w:rsidRPr="00F33275" w:rsidRDefault="00185C14" w:rsidP="00185C1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8,640,583</w:t>
            </w:r>
          </w:p>
        </w:tc>
        <w:tc>
          <w:tcPr>
            <w:tcW w:w="1276" w:type="dxa"/>
            <w:shd w:val="clear" w:color="auto" w:fill="auto"/>
            <w:noWrap/>
            <w:vAlign w:val="center"/>
            <w:hideMark/>
          </w:tcPr>
          <w:p w14:paraId="0559E59E" w14:textId="1F3A8105" w:rsidR="009B52FB" w:rsidRPr="00F33275" w:rsidRDefault="00176B4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7,671,292</w:t>
            </w:r>
          </w:p>
        </w:tc>
      </w:tr>
      <w:tr w:rsidR="009B52FB" w:rsidRPr="00F33275" w14:paraId="6E4F6AF4" w14:textId="77777777" w:rsidTr="00F33275">
        <w:trPr>
          <w:trHeight w:val="360"/>
          <w:jc w:val="center"/>
        </w:trPr>
        <w:tc>
          <w:tcPr>
            <w:tcW w:w="2008" w:type="dxa"/>
            <w:shd w:val="clear" w:color="000000" w:fill="FFFFFF"/>
            <w:noWrap/>
            <w:vAlign w:val="center"/>
            <w:hideMark/>
          </w:tcPr>
          <w:p w14:paraId="4CE5F20B"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Total Liabilities</w:t>
            </w:r>
          </w:p>
        </w:tc>
        <w:tc>
          <w:tcPr>
            <w:tcW w:w="1276" w:type="dxa"/>
            <w:vAlign w:val="center"/>
          </w:tcPr>
          <w:p w14:paraId="2C836C62" w14:textId="588F29DC"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6,231,345</w:t>
            </w:r>
          </w:p>
        </w:tc>
        <w:tc>
          <w:tcPr>
            <w:tcW w:w="1276" w:type="dxa"/>
            <w:vAlign w:val="center"/>
          </w:tcPr>
          <w:p w14:paraId="48E1C404" w14:textId="2792D6B2"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7,383,817</w:t>
            </w:r>
          </w:p>
        </w:tc>
        <w:tc>
          <w:tcPr>
            <w:tcW w:w="1276" w:type="dxa"/>
            <w:shd w:val="clear" w:color="auto" w:fill="auto"/>
            <w:noWrap/>
            <w:vAlign w:val="center"/>
          </w:tcPr>
          <w:p w14:paraId="1829B42F" w14:textId="6CB1A3D7"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5,849,131</w:t>
            </w:r>
          </w:p>
        </w:tc>
        <w:tc>
          <w:tcPr>
            <w:tcW w:w="1276" w:type="dxa"/>
            <w:vAlign w:val="center"/>
          </w:tcPr>
          <w:p w14:paraId="727B49F3" w14:textId="44C32837" w:rsidR="009B52FB" w:rsidRPr="00F33275" w:rsidRDefault="004C2418" w:rsidP="00185C1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7,346,949</w:t>
            </w:r>
          </w:p>
        </w:tc>
        <w:tc>
          <w:tcPr>
            <w:tcW w:w="1276" w:type="dxa"/>
            <w:shd w:val="clear" w:color="auto" w:fill="auto"/>
            <w:noWrap/>
            <w:vAlign w:val="center"/>
            <w:hideMark/>
          </w:tcPr>
          <w:p w14:paraId="12F223AD" w14:textId="22745038" w:rsidR="009B52FB" w:rsidRPr="00F33275" w:rsidRDefault="00176B4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6,702,811</w:t>
            </w:r>
          </w:p>
        </w:tc>
      </w:tr>
      <w:tr w:rsidR="009B52FB" w:rsidRPr="00F33275" w14:paraId="652DF805" w14:textId="77777777" w:rsidTr="00F33275">
        <w:trPr>
          <w:trHeight w:val="360"/>
          <w:jc w:val="center"/>
        </w:trPr>
        <w:tc>
          <w:tcPr>
            <w:tcW w:w="2008" w:type="dxa"/>
            <w:shd w:val="clear" w:color="000000" w:fill="FFFFFF"/>
            <w:noWrap/>
            <w:vAlign w:val="center"/>
            <w:hideMark/>
          </w:tcPr>
          <w:p w14:paraId="77C6FAF0"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lastRenderedPageBreak/>
              <w:t>Shareholders' Funds</w:t>
            </w:r>
          </w:p>
        </w:tc>
        <w:tc>
          <w:tcPr>
            <w:tcW w:w="1276" w:type="dxa"/>
            <w:vAlign w:val="center"/>
          </w:tcPr>
          <w:p w14:paraId="2795C366" w14:textId="4EAE20D2"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763,775</w:t>
            </w:r>
          </w:p>
        </w:tc>
        <w:tc>
          <w:tcPr>
            <w:tcW w:w="1276" w:type="dxa"/>
            <w:vAlign w:val="center"/>
          </w:tcPr>
          <w:p w14:paraId="3775DD6C" w14:textId="69146E2C"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831,113</w:t>
            </w:r>
          </w:p>
        </w:tc>
        <w:tc>
          <w:tcPr>
            <w:tcW w:w="1276" w:type="dxa"/>
            <w:shd w:val="clear" w:color="auto" w:fill="auto"/>
            <w:noWrap/>
            <w:vAlign w:val="center"/>
          </w:tcPr>
          <w:p w14:paraId="3FBC4902" w14:textId="1A8DE596"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985,402</w:t>
            </w:r>
          </w:p>
        </w:tc>
        <w:tc>
          <w:tcPr>
            <w:tcW w:w="1276" w:type="dxa"/>
            <w:vAlign w:val="center"/>
          </w:tcPr>
          <w:p w14:paraId="301E57D4" w14:textId="7C9A919D" w:rsidR="009B52FB" w:rsidRPr="00F33275" w:rsidRDefault="004C2418" w:rsidP="00185C1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1,293,634</w:t>
            </w:r>
          </w:p>
        </w:tc>
        <w:tc>
          <w:tcPr>
            <w:tcW w:w="1276" w:type="dxa"/>
            <w:shd w:val="clear" w:color="auto" w:fill="auto"/>
            <w:noWrap/>
            <w:vAlign w:val="center"/>
            <w:hideMark/>
          </w:tcPr>
          <w:p w14:paraId="3549A439" w14:textId="63363F0C" w:rsidR="009B52FB" w:rsidRPr="00F33275" w:rsidRDefault="00176B4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968,481</w:t>
            </w:r>
          </w:p>
        </w:tc>
      </w:tr>
      <w:tr w:rsidR="009B52FB" w:rsidRPr="00F33275" w14:paraId="3A6CCCD7" w14:textId="77777777" w:rsidTr="00F33275">
        <w:trPr>
          <w:trHeight w:val="360"/>
          <w:jc w:val="center"/>
        </w:trPr>
        <w:tc>
          <w:tcPr>
            <w:tcW w:w="2008" w:type="dxa"/>
            <w:shd w:val="clear" w:color="000000" w:fill="FFFFFF"/>
            <w:noWrap/>
            <w:vAlign w:val="center"/>
          </w:tcPr>
          <w:p w14:paraId="2F90C570"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EBITDA %</w:t>
            </w:r>
          </w:p>
        </w:tc>
        <w:tc>
          <w:tcPr>
            <w:tcW w:w="1276" w:type="dxa"/>
            <w:vAlign w:val="center"/>
          </w:tcPr>
          <w:p w14:paraId="5FF3298F" w14:textId="040C7276"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44%</w:t>
            </w:r>
          </w:p>
        </w:tc>
        <w:tc>
          <w:tcPr>
            <w:tcW w:w="1276" w:type="dxa"/>
            <w:vAlign w:val="center"/>
          </w:tcPr>
          <w:p w14:paraId="0E8E44EB" w14:textId="5D4FCD56"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59%</w:t>
            </w:r>
          </w:p>
        </w:tc>
        <w:tc>
          <w:tcPr>
            <w:tcW w:w="1276" w:type="dxa"/>
            <w:shd w:val="clear" w:color="auto" w:fill="auto"/>
            <w:noWrap/>
            <w:vAlign w:val="center"/>
          </w:tcPr>
          <w:p w14:paraId="02F6A96A" w14:textId="7B7B81F7"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63%</w:t>
            </w:r>
          </w:p>
        </w:tc>
        <w:tc>
          <w:tcPr>
            <w:tcW w:w="1276" w:type="dxa"/>
            <w:vAlign w:val="center"/>
          </w:tcPr>
          <w:p w14:paraId="2FE1A3DF" w14:textId="03F9237B" w:rsidR="009B52FB" w:rsidRPr="00F33275" w:rsidRDefault="004C2418" w:rsidP="00185C1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50%</w:t>
            </w:r>
          </w:p>
        </w:tc>
        <w:tc>
          <w:tcPr>
            <w:tcW w:w="1276" w:type="dxa"/>
            <w:shd w:val="clear" w:color="auto" w:fill="auto"/>
            <w:noWrap/>
            <w:vAlign w:val="center"/>
          </w:tcPr>
          <w:p w14:paraId="4BCE0A45" w14:textId="331D8CDF"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5</w:t>
            </w:r>
            <w:r w:rsidR="00176B4B" w:rsidRPr="00F33275">
              <w:rPr>
                <w:rFonts w:asciiTheme="minorHAnsi" w:hAnsiTheme="minorHAnsi" w:cstheme="minorHAnsi"/>
                <w:color w:val="000000" w:themeColor="text1"/>
                <w:sz w:val="18"/>
                <w:szCs w:val="18"/>
                <w:lang w:eastAsia="en-GB"/>
              </w:rPr>
              <w:t>4</w:t>
            </w:r>
            <w:r w:rsidRPr="00F33275">
              <w:rPr>
                <w:rFonts w:asciiTheme="minorHAnsi" w:hAnsiTheme="minorHAnsi" w:cstheme="minorHAnsi"/>
                <w:color w:val="000000" w:themeColor="text1"/>
                <w:sz w:val="18"/>
                <w:szCs w:val="18"/>
                <w:lang w:eastAsia="en-GB"/>
              </w:rPr>
              <w:t>%</w:t>
            </w:r>
          </w:p>
        </w:tc>
      </w:tr>
      <w:tr w:rsidR="009B52FB" w:rsidRPr="00F33275" w14:paraId="22B5E0DF" w14:textId="77777777" w:rsidTr="00F33275">
        <w:trPr>
          <w:trHeight w:val="360"/>
          <w:jc w:val="center"/>
        </w:trPr>
        <w:tc>
          <w:tcPr>
            <w:tcW w:w="2008" w:type="dxa"/>
            <w:shd w:val="clear" w:color="000000" w:fill="FFFFFF"/>
            <w:noWrap/>
            <w:vAlign w:val="center"/>
          </w:tcPr>
          <w:p w14:paraId="7AFB216E"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NOPAT %</w:t>
            </w:r>
          </w:p>
        </w:tc>
        <w:tc>
          <w:tcPr>
            <w:tcW w:w="1276" w:type="dxa"/>
            <w:vAlign w:val="center"/>
          </w:tcPr>
          <w:p w14:paraId="0F3E6430" w14:textId="2E00909E"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31.5%</w:t>
            </w:r>
          </w:p>
        </w:tc>
        <w:tc>
          <w:tcPr>
            <w:tcW w:w="1276" w:type="dxa"/>
            <w:vAlign w:val="center"/>
          </w:tcPr>
          <w:p w14:paraId="67963637" w14:textId="6ECE2016"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31.3%</w:t>
            </w:r>
          </w:p>
        </w:tc>
        <w:tc>
          <w:tcPr>
            <w:tcW w:w="1276" w:type="dxa"/>
            <w:shd w:val="clear" w:color="auto" w:fill="auto"/>
            <w:noWrap/>
            <w:vAlign w:val="center"/>
          </w:tcPr>
          <w:p w14:paraId="08AABF57" w14:textId="4A2375C0"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31.3%</w:t>
            </w:r>
          </w:p>
        </w:tc>
        <w:tc>
          <w:tcPr>
            <w:tcW w:w="1276" w:type="dxa"/>
            <w:vAlign w:val="center"/>
          </w:tcPr>
          <w:p w14:paraId="219A42A1" w14:textId="07D2DDBC" w:rsidR="009B52FB" w:rsidRPr="00F33275" w:rsidRDefault="004C2418" w:rsidP="00185C1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24.4%</w:t>
            </w:r>
          </w:p>
        </w:tc>
        <w:tc>
          <w:tcPr>
            <w:tcW w:w="1276" w:type="dxa"/>
            <w:shd w:val="clear" w:color="auto" w:fill="auto"/>
            <w:noWrap/>
            <w:vAlign w:val="center"/>
          </w:tcPr>
          <w:p w14:paraId="197B1A8A" w14:textId="0FB214DE" w:rsidR="009B52FB" w:rsidRPr="00F33275" w:rsidRDefault="00176B4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29.63</w:t>
            </w:r>
            <w:r w:rsidR="009B52FB" w:rsidRPr="00F33275">
              <w:rPr>
                <w:rFonts w:asciiTheme="minorHAnsi" w:hAnsiTheme="minorHAnsi" w:cstheme="minorHAnsi"/>
                <w:color w:val="000000" w:themeColor="text1"/>
                <w:sz w:val="18"/>
                <w:szCs w:val="18"/>
                <w:lang w:eastAsia="en-GB"/>
              </w:rPr>
              <w:t>%</w:t>
            </w:r>
          </w:p>
        </w:tc>
      </w:tr>
      <w:tr w:rsidR="009B52FB" w:rsidRPr="00F33275" w14:paraId="132EB7B6" w14:textId="77777777" w:rsidTr="00F33275">
        <w:trPr>
          <w:trHeight w:val="360"/>
          <w:jc w:val="center"/>
        </w:trPr>
        <w:tc>
          <w:tcPr>
            <w:tcW w:w="2008" w:type="dxa"/>
            <w:shd w:val="clear" w:color="000000" w:fill="FFFFFF"/>
            <w:noWrap/>
            <w:vAlign w:val="center"/>
            <w:hideMark/>
          </w:tcPr>
          <w:p w14:paraId="3680A274"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ROE %</w:t>
            </w:r>
          </w:p>
        </w:tc>
        <w:tc>
          <w:tcPr>
            <w:tcW w:w="1276" w:type="dxa"/>
            <w:vAlign w:val="center"/>
          </w:tcPr>
          <w:p w14:paraId="7FE51501" w14:textId="08A3E2C1"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41.6%</w:t>
            </w:r>
          </w:p>
        </w:tc>
        <w:tc>
          <w:tcPr>
            <w:tcW w:w="1276" w:type="dxa"/>
            <w:vAlign w:val="center"/>
          </w:tcPr>
          <w:p w14:paraId="1263B18A" w14:textId="0EBB679B"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41.4%</w:t>
            </w:r>
          </w:p>
        </w:tc>
        <w:tc>
          <w:tcPr>
            <w:tcW w:w="1276" w:type="dxa"/>
            <w:shd w:val="clear" w:color="auto" w:fill="auto"/>
            <w:noWrap/>
            <w:vAlign w:val="center"/>
          </w:tcPr>
          <w:p w14:paraId="159EBD73" w14:textId="3EF0E6DE"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39.3%</w:t>
            </w:r>
          </w:p>
        </w:tc>
        <w:tc>
          <w:tcPr>
            <w:tcW w:w="1276" w:type="dxa"/>
            <w:vAlign w:val="center"/>
          </w:tcPr>
          <w:p w14:paraId="76E692E9" w14:textId="68ED9DC4" w:rsidR="009B52FB" w:rsidRPr="00F33275" w:rsidRDefault="00903E12" w:rsidP="00185C1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23.2%</w:t>
            </w:r>
          </w:p>
        </w:tc>
        <w:tc>
          <w:tcPr>
            <w:tcW w:w="1276" w:type="dxa"/>
            <w:shd w:val="clear" w:color="auto" w:fill="auto"/>
            <w:noWrap/>
            <w:vAlign w:val="center"/>
            <w:hideMark/>
          </w:tcPr>
          <w:p w14:paraId="05D68EBE" w14:textId="3DD7318F" w:rsidR="009B52FB" w:rsidRPr="00F33275" w:rsidRDefault="00B94B04"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38.63</w:t>
            </w:r>
            <w:r w:rsidR="009B52FB" w:rsidRPr="00F33275">
              <w:rPr>
                <w:rFonts w:asciiTheme="minorHAnsi" w:hAnsiTheme="minorHAnsi" w:cstheme="minorHAnsi"/>
                <w:color w:val="000000" w:themeColor="text1"/>
                <w:sz w:val="18"/>
                <w:szCs w:val="18"/>
                <w:lang w:eastAsia="en-GB"/>
              </w:rPr>
              <w:t>%</w:t>
            </w:r>
          </w:p>
        </w:tc>
      </w:tr>
      <w:tr w:rsidR="009B52FB" w:rsidRPr="00F33275" w14:paraId="1012C03C" w14:textId="77777777" w:rsidTr="00F33275">
        <w:trPr>
          <w:trHeight w:val="360"/>
          <w:jc w:val="center"/>
        </w:trPr>
        <w:tc>
          <w:tcPr>
            <w:tcW w:w="2008" w:type="dxa"/>
            <w:shd w:val="clear" w:color="000000" w:fill="FFFFFF"/>
            <w:noWrap/>
            <w:vAlign w:val="center"/>
            <w:hideMark/>
          </w:tcPr>
          <w:p w14:paraId="024A8CCD"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ROA %</w:t>
            </w:r>
          </w:p>
        </w:tc>
        <w:tc>
          <w:tcPr>
            <w:tcW w:w="1276" w:type="dxa"/>
            <w:vAlign w:val="center"/>
          </w:tcPr>
          <w:p w14:paraId="0108331F" w14:textId="323CA1C8"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4.5%</w:t>
            </w:r>
          </w:p>
        </w:tc>
        <w:tc>
          <w:tcPr>
            <w:tcW w:w="1276" w:type="dxa"/>
            <w:vAlign w:val="center"/>
          </w:tcPr>
          <w:p w14:paraId="329DEAE8" w14:textId="2174B74B"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4.2%</w:t>
            </w:r>
          </w:p>
        </w:tc>
        <w:tc>
          <w:tcPr>
            <w:tcW w:w="1276" w:type="dxa"/>
            <w:shd w:val="clear" w:color="auto" w:fill="auto"/>
            <w:noWrap/>
            <w:vAlign w:val="center"/>
          </w:tcPr>
          <w:p w14:paraId="6F498B0F" w14:textId="0A6E60BE"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5.7%</w:t>
            </w:r>
          </w:p>
        </w:tc>
        <w:tc>
          <w:tcPr>
            <w:tcW w:w="1276" w:type="dxa"/>
            <w:vAlign w:val="center"/>
          </w:tcPr>
          <w:p w14:paraId="18B156C6" w14:textId="7ECA69AD" w:rsidR="009B52FB" w:rsidRPr="00F33275" w:rsidRDefault="00903E12" w:rsidP="00185C1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3.5%</w:t>
            </w:r>
          </w:p>
        </w:tc>
        <w:tc>
          <w:tcPr>
            <w:tcW w:w="1276" w:type="dxa"/>
            <w:shd w:val="clear" w:color="auto" w:fill="auto"/>
            <w:noWrap/>
            <w:vAlign w:val="center"/>
            <w:hideMark/>
          </w:tcPr>
          <w:p w14:paraId="7368A1C4" w14:textId="0E4EC4AC"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4.</w:t>
            </w:r>
            <w:r w:rsidR="00B94B04" w:rsidRPr="00F33275">
              <w:rPr>
                <w:rFonts w:asciiTheme="minorHAnsi" w:hAnsiTheme="minorHAnsi" w:cstheme="minorHAnsi"/>
                <w:color w:val="000000" w:themeColor="text1"/>
                <w:sz w:val="18"/>
                <w:szCs w:val="18"/>
                <w:lang w:eastAsia="en-GB"/>
              </w:rPr>
              <w:t>4</w:t>
            </w:r>
            <w:r w:rsidRPr="00F33275">
              <w:rPr>
                <w:rFonts w:asciiTheme="minorHAnsi" w:hAnsiTheme="minorHAnsi" w:cstheme="minorHAnsi"/>
                <w:color w:val="000000" w:themeColor="text1"/>
                <w:sz w:val="18"/>
                <w:szCs w:val="18"/>
                <w:lang w:eastAsia="en-GB"/>
              </w:rPr>
              <w:t>8%</w:t>
            </w:r>
          </w:p>
        </w:tc>
      </w:tr>
      <w:tr w:rsidR="009B52FB" w:rsidRPr="00F33275" w14:paraId="74B32E3C" w14:textId="77777777" w:rsidTr="00F33275">
        <w:trPr>
          <w:trHeight w:val="360"/>
          <w:jc w:val="center"/>
        </w:trPr>
        <w:tc>
          <w:tcPr>
            <w:tcW w:w="2008" w:type="dxa"/>
            <w:shd w:val="clear" w:color="000000" w:fill="FFFFFF"/>
            <w:noWrap/>
            <w:vAlign w:val="center"/>
          </w:tcPr>
          <w:p w14:paraId="3A658428"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Current Assets / Current liabilities</w:t>
            </w:r>
          </w:p>
        </w:tc>
        <w:tc>
          <w:tcPr>
            <w:tcW w:w="1276" w:type="dxa"/>
            <w:vAlign w:val="center"/>
          </w:tcPr>
          <w:p w14:paraId="638BBB82" w14:textId="4F2186C0"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1.11</w:t>
            </w:r>
          </w:p>
        </w:tc>
        <w:tc>
          <w:tcPr>
            <w:tcW w:w="1276" w:type="dxa"/>
            <w:vAlign w:val="center"/>
          </w:tcPr>
          <w:p w14:paraId="02A56749" w14:textId="4B1DE223"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1.10</w:t>
            </w:r>
          </w:p>
        </w:tc>
        <w:tc>
          <w:tcPr>
            <w:tcW w:w="1276" w:type="dxa"/>
            <w:shd w:val="clear" w:color="auto" w:fill="auto"/>
            <w:noWrap/>
            <w:vAlign w:val="center"/>
          </w:tcPr>
          <w:p w14:paraId="1E781511" w14:textId="4F071DD0"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 xml:space="preserve">1.14 </w:t>
            </w:r>
          </w:p>
        </w:tc>
        <w:tc>
          <w:tcPr>
            <w:tcW w:w="1276" w:type="dxa"/>
            <w:vAlign w:val="center"/>
          </w:tcPr>
          <w:p w14:paraId="40B6A987" w14:textId="36450D41" w:rsidR="009B52FB" w:rsidRPr="00F33275" w:rsidRDefault="00903E12" w:rsidP="00185C1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1.16</w:t>
            </w:r>
          </w:p>
        </w:tc>
        <w:tc>
          <w:tcPr>
            <w:tcW w:w="1276" w:type="dxa"/>
            <w:shd w:val="clear" w:color="auto" w:fill="auto"/>
            <w:noWrap/>
            <w:vAlign w:val="center"/>
          </w:tcPr>
          <w:p w14:paraId="7FCCF3D5" w14:textId="03951B89"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1.1</w:t>
            </w:r>
            <w:r w:rsidR="00B94B04" w:rsidRPr="00F33275">
              <w:rPr>
                <w:rFonts w:asciiTheme="minorHAnsi" w:hAnsiTheme="minorHAnsi" w:cstheme="minorHAnsi"/>
                <w:color w:val="000000" w:themeColor="text1"/>
                <w:sz w:val="18"/>
                <w:szCs w:val="18"/>
                <w:lang w:eastAsia="en-GB"/>
              </w:rPr>
              <w:t>3</w:t>
            </w:r>
          </w:p>
        </w:tc>
      </w:tr>
      <w:tr w:rsidR="009B52FB" w:rsidRPr="00F33275" w14:paraId="1A2B79FD" w14:textId="77777777" w:rsidTr="00F33275">
        <w:trPr>
          <w:trHeight w:val="360"/>
          <w:jc w:val="center"/>
        </w:trPr>
        <w:tc>
          <w:tcPr>
            <w:tcW w:w="2008" w:type="dxa"/>
            <w:shd w:val="clear" w:color="000000" w:fill="FFFFFF"/>
            <w:noWrap/>
            <w:vAlign w:val="center"/>
          </w:tcPr>
          <w:p w14:paraId="19019761"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Quick Ratio</w:t>
            </w:r>
          </w:p>
        </w:tc>
        <w:tc>
          <w:tcPr>
            <w:tcW w:w="1276" w:type="dxa"/>
            <w:vAlign w:val="center"/>
          </w:tcPr>
          <w:p w14:paraId="6D192726" w14:textId="6D92897C"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0.08</w:t>
            </w:r>
          </w:p>
        </w:tc>
        <w:tc>
          <w:tcPr>
            <w:tcW w:w="1276" w:type="dxa"/>
            <w:vAlign w:val="center"/>
          </w:tcPr>
          <w:p w14:paraId="78FFBE82" w14:textId="3B14AA65"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0.07</w:t>
            </w:r>
          </w:p>
        </w:tc>
        <w:tc>
          <w:tcPr>
            <w:tcW w:w="1276" w:type="dxa"/>
            <w:shd w:val="clear" w:color="auto" w:fill="auto"/>
            <w:noWrap/>
            <w:vAlign w:val="center"/>
          </w:tcPr>
          <w:p w14:paraId="063C7C0A" w14:textId="2FACC20C"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0.11</w:t>
            </w:r>
          </w:p>
        </w:tc>
        <w:tc>
          <w:tcPr>
            <w:tcW w:w="1276" w:type="dxa"/>
            <w:vAlign w:val="center"/>
          </w:tcPr>
          <w:p w14:paraId="1E5DDBAB" w14:textId="121A56C0" w:rsidR="009B52FB" w:rsidRPr="00F33275" w:rsidRDefault="00903E12" w:rsidP="00185C1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0.09</w:t>
            </w:r>
          </w:p>
        </w:tc>
        <w:tc>
          <w:tcPr>
            <w:tcW w:w="1276" w:type="dxa"/>
            <w:shd w:val="clear" w:color="auto" w:fill="auto"/>
            <w:noWrap/>
            <w:vAlign w:val="center"/>
          </w:tcPr>
          <w:p w14:paraId="596F3405" w14:textId="3A926C9F"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0.09</w:t>
            </w:r>
          </w:p>
        </w:tc>
      </w:tr>
      <w:tr w:rsidR="009B52FB" w:rsidRPr="00F33275" w14:paraId="297A0616" w14:textId="77777777" w:rsidTr="00F33275">
        <w:trPr>
          <w:trHeight w:val="360"/>
          <w:jc w:val="center"/>
        </w:trPr>
        <w:tc>
          <w:tcPr>
            <w:tcW w:w="2008" w:type="dxa"/>
            <w:shd w:val="clear" w:color="000000" w:fill="FFFFFF"/>
            <w:noWrap/>
            <w:vAlign w:val="center"/>
          </w:tcPr>
          <w:p w14:paraId="10F38E0B"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Accounts Receivable Days</w:t>
            </w:r>
          </w:p>
        </w:tc>
        <w:tc>
          <w:tcPr>
            <w:tcW w:w="1276" w:type="dxa"/>
            <w:vAlign w:val="center"/>
          </w:tcPr>
          <w:p w14:paraId="6A9CF923" w14:textId="0D84600D"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n/a</w:t>
            </w:r>
          </w:p>
        </w:tc>
        <w:tc>
          <w:tcPr>
            <w:tcW w:w="1276" w:type="dxa"/>
            <w:vAlign w:val="center"/>
          </w:tcPr>
          <w:p w14:paraId="230E95F3" w14:textId="175E325E"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n/a</w:t>
            </w:r>
          </w:p>
        </w:tc>
        <w:tc>
          <w:tcPr>
            <w:tcW w:w="1276" w:type="dxa"/>
            <w:shd w:val="clear" w:color="auto" w:fill="auto"/>
            <w:noWrap/>
            <w:vAlign w:val="center"/>
          </w:tcPr>
          <w:p w14:paraId="019B43C7" w14:textId="13BF06CF"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n/a</w:t>
            </w:r>
          </w:p>
        </w:tc>
        <w:tc>
          <w:tcPr>
            <w:tcW w:w="1276" w:type="dxa"/>
            <w:vAlign w:val="center"/>
          </w:tcPr>
          <w:p w14:paraId="2FC4B920" w14:textId="177EB8F4" w:rsidR="009B52FB" w:rsidRPr="00F33275" w:rsidRDefault="00903E12" w:rsidP="00185C1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n/a</w:t>
            </w:r>
          </w:p>
        </w:tc>
        <w:tc>
          <w:tcPr>
            <w:tcW w:w="1276" w:type="dxa"/>
            <w:shd w:val="clear" w:color="auto" w:fill="auto"/>
            <w:noWrap/>
            <w:vAlign w:val="center"/>
          </w:tcPr>
          <w:p w14:paraId="3C83DB1F" w14:textId="11C0E2AD"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n/a</w:t>
            </w:r>
          </w:p>
        </w:tc>
      </w:tr>
      <w:tr w:rsidR="009B52FB" w:rsidRPr="00F33275" w14:paraId="1FB408BA" w14:textId="77777777" w:rsidTr="00F33275">
        <w:trPr>
          <w:trHeight w:val="360"/>
          <w:jc w:val="center"/>
        </w:trPr>
        <w:tc>
          <w:tcPr>
            <w:tcW w:w="2008" w:type="dxa"/>
            <w:shd w:val="clear" w:color="000000" w:fill="FFFFFF"/>
            <w:noWrap/>
            <w:vAlign w:val="center"/>
          </w:tcPr>
          <w:p w14:paraId="4948466B"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Assets Turnover</w:t>
            </w:r>
          </w:p>
        </w:tc>
        <w:tc>
          <w:tcPr>
            <w:tcW w:w="1276" w:type="dxa"/>
            <w:vAlign w:val="center"/>
          </w:tcPr>
          <w:p w14:paraId="74C25B32" w14:textId="192D83AB"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0.14</w:t>
            </w:r>
          </w:p>
        </w:tc>
        <w:tc>
          <w:tcPr>
            <w:tcW w:w="1276" w:type="dxa"/>
            <w:vAlign w:val="center"/>
          </w:tcPr>
          <w:p w14:paraId="5F3195AF" w14:textId="68981B63"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0.14</w:t>
            </w:r>
          </w:p>
        </w:tc>
        <w:tc>
          <w:tcPr>
            <w:tcW w:w="1276" w:type="dxa"/>
            <w:shd w:val="clear" w:color="auto" w:fill="auto"/>
            <w:noWrap/>
            <w:vAlign w:val="center"/>
          </w:tcPr>
          <w:p w14:paraId="0C48329E" w14:textId="44A4D0A1"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0.16</w:t>
            </w:r>
          </w:p>
        </w:tc>
        <w:tc>
          <w:tcPr>
            <w:tcW w:w="1276" w:type="dxa"/>
            <w:vAlign w:val="center"/>
          </w:tcPr>
          <w:p w14:paraId="536080CA" w14:textId="738A1AC4" w:rsidR="009B52FB" w:rsidRPr="00F33275" w:rsidRDefault="00903E12" w:rsidP="00185C1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0.16</w:t>
            </w:r>
          </w:p>
        </w:tc>
        <w:tc>
          <w:tcPr>
            <w:tcW w:w="1276" w:type="dxa"/>
            <w:shd w:val="clear" w:color="auto" w:fill="auto"/>
            <w:noWrap/>
            <w:vAlign w:val="center"/>
          </w:tcPr>
          <w:p w14:paraId="48CA9B49" w14:textId="28FED5E5"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0.15</w:t>
            </w:r>
          </w:p>
        </w:tc>
      </w:tr>
      <w:tr w:rsidR="009B52FB" w:rsidRPr="00F33275" w14:paraId="59D1B6F1" w14:textId="77777777" w:rsidTr="00F33275">
        <w:trPr>
          <w:trHeight w:val="360"/>
          <w:jc w:val="center"/>
        </w:trPr>
        <w:tc>
          <w:tcPr>
            <w:tcW w:w="2008" w:type="dxa"/>
            <w:shd w:val="clear" w:color="000000" w:fill="FFFFFF"/>
            <w:noWrap/>
            <w:vAlign w:val="center"/>
            <w:hideMark/>
          </w:tcPr>
          <w:p w14:paraId="58BF8CCE" w14:textId="77777777" w:rsidR="009B52FB" w:rsidRPr="00F33275" w:rsidRDefault="009B52FB" w:rsidP="005A1DD4">
            <w:pPr>
              <w:rPr>
                <w:rFonts w:asciiTheme="minorHAnsi" w:hAnsiTheme="minorHAnsi" w:cstheme="minorHAnsi"/>
                <w:sz w:val="18"/>
                <w:szCs w:val="18"/>
                <w:lang w:eastAsia="en-GB"/>
              </w:rPr>
            </w:pPr>
            <w:r w:rsidRPr="00F33275">
              <w:rPr>
                <w:rFonts w:asciiTheme="minorHAnsi" w:hAnsiTheme="minorHAnsi" w:cstheme="minorHAnsi"/>
                <w:sz w:val="18"/>
                <w:szCs w:val="18"/>
                <w:lang w:eastAsia="en-GB"/>
              </w:rPr>
              <w:t>Debt / Equity Ratio</w:t>
            </w:r>
          </w:p>
        </w:tc>
        <w:tc>
          <w:tcPr>
            <w:tcW w:w="1276" w:type="dxa"/>
            <w:vAlign w:val="center"/>
          </w:tcPr>
          <w:p w14:paraId="47898E61" w14:textId="7B68D981" w:rsidR="009B52FB" w:rsidRPr="00F33275" w:rsidRDefault="009B52FB" w:rsidP="005A1DD4">
            <w:pPr>
              <w:jc w:val="right"/>
              <w:rPr>
                <w:rFonts w:asciiTheme="minorHAnsi" w:hAnsiTheme="minorHAnsi" w:cstheme="minorHAnsi"/>
                <w:color w:val="FF0000"/>
                <w:sz w:val="18"/>
                <w:szCs w:val="18"/>
                <w:lang w:eastAsia="en-GB"/>
              </w:rPr>
            </w:pPr>
            <w:r w:rsidRPr="00F33275">
              <w:rPr>
                <w:rFonts w:asciiTheme="minorHAnsi" w:hAnsiTheme="minorHAnsi" w:cstheme="minorHAnsi"/>
                <w:color w:val="000000" w:themeColor="text1"/>
                <w:sz w:val="18"/>
                <w:szCs w:val="18"/>
                <w:lang w:eastAsia="en-GB"/>
              </w:rPr>
              <w:t>n/a</w:t>
            </w:r>
          </w:p>
        </w:tc>
        <w:tc>
          <w:tcPr>
            <w:tcW w:w="1276" w:type="dxa"/>
            <w:vAlign w:val="center"/>
          </w:tcPr>
          <w:p w14:paraId="03280D63" w14:textId="006D31A3" w:rsidR="009B52FB" w:rsidRPr="00F33275" w:rsidRDefault="009B52FB" w:rsidP="005A1DD4">
            <w:pPr>
              <w:jc w:val="right"/>
              <w:rPr>
                <w:rFonts w:asciiTheme="minorHAnsi" w:hAnsiTheme="minorHAnsi" w:cstheme="minorHAnsi"/>
                <w:color w:val="FF0000"/>
                <w:sz w:val="18"/>
                <w:szCs w:val="18"/>
                <w:lang w:eastAsia="en-GB"/>
              </w:rPr>
            </w:pPr>
            <w:r w:rsidRPr="00F33275">
              <w:rPr>
                <w:rFonts w:asciiTheme="minorHAnsi" w:hAnsiTheme="minorHAnsi" w:cstheme="minorHAnsi"/>
                <w:color w:val="000000" w:themeColor="text1"/>
                <w:sz w:val="18"/>
                <w:szCs w:val="18"/>
                <w:lang w:eastAsia="en-GB"/>
              </w:rPr>
              <w:t>n/a</w:t>
            </w:r>
          </w:p>
        </w:tc>
        <w:tc>
          <w:tcPr>
            <w:tcW w:w="1276" w:type="dxa"/>
            <w:shd w:val="clear" w:color="auto" w:fill="auto"/>
            <w:noWrap/>
            <w:vAlign w:val="center"/>
          </w:tcPr>
          <w:p w14:paraId="329642E4" w14:textId="7815F2C8"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n/a</w:t>
            </w:r>
          </w:p>
        </w:tc>
        <w:tc>
          <w:tcPr>
            <w:tcW w:w="1276" w:type="dxa"/>
            <w:vAlign w:val="center"/>
          </w:tcPr>
          <w:p w14:paraId="18BA5B8F" w14:textId="1431BEE7" w:rsidR="009B52FB" w:rsidRPr="00F33275" w:rsidRDefault="00903E12" w:rsidP="00185C1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n/a</w:t>
            </w:r>
          </w:p>
        </w:tc>
        <w:tc>
          <w:tcPr>
            <w:tcW w:w="1276" w:type="dxa"/>
            <w:shd w:val="clear" w:color="auto" w:fill="auto"/>
            <w:noWrap/>
            <w:vAlign w:val="center"/>
            <w:hideMark/>
          </w:tcPr>
          <w:p w14:paraId="4990F9F3" w14:textId="3839B3FA" w:rsidR="009B52FB" w:rsidRPr="00F33275" w:rsidRDefault="009B52FB" w:rsidP="005A1DD4">
            <w:pPr>
              <w:jc w:val="right"/>
              <w:rPr>
                <w:rFonts w:asciiTheme="minorHAnsi" w:hAnsiTheme="minorHAnsi" w:cstheme="minorHAnsi"/>
                <w:color w:val="000000" w:themeColor="text1"/>
                <w:sz w:val="18"/>
                <w:szCs w:val="18"/>
                <w:lang w:eastAsia="en-GB"/>
              </w:rPr>
            </w:pPr>
            <w:r w:rsidRPr="00F33275">
              <w:rPr>
                <w:rFonts w:asciiTheme="minorHAnsi" w:hAnsiTheme="minorHAnsi" w:cstheme="minorHAnsi"/>
                <w:color w:val="000000" w:themeColor="text1"/>
                <w:sz w:val="18"/>
                <w:szCs w:val="18"/>
                <w:lang w:eastAsia="en-GB"/>
              </w:rPr>
              <w:t>n/a</w:t>
            </w:r>
          </w:p>
        </w:tc>
      </w:tr>
    </w:tbl>
    <w:p w14:paraId="5D642952" w14:textId="77777777" w:rsidR="00D71E7D" w:rsidRPr="00D25BE7" w:rsidRDefault="00D71E7D" w:rsidP="00D71E7D">
      <w:pPr>
        <w:rPr>
          <w:rFonts w:asciiTheme="minorHAnsi" w:hAnsiTheme="minorHAnsi"/>
          <w:color w:val="000000" w:themeColor="text1"/>
          <w:lang w:val="en-GB"/>
        </w:rPr>
      </w:pPr>
      <w:r w:rsidRPr="00D25BE7">
        <w:rPr>
          <w:rFonts w:asciiTheme="minorHAnsi" w:hAnsiTheme="minorHAnsi"/>
        </w:rPr>
        <w:t xml:space="preserve"> </w:t>
      </w:r>
    </w:p>
    <w:p w14:paraId="2042613C" w14:textId="39A3B89F" w:rsidR="00D02C69" w:rsidRDefault="0043348E" w:rsidP="0062403D">
      <w:pPr>
        <w:pStyle w:val="ListParagraph"/>
        <w:ind w:left="567" w:hanging="567"/>
        <w:rPr>
          <w:rFonts w:asciiTheme="minorHAnsi" w:hAnsiTheme="minorHAnsi"/>
          <w:lang w:val="en-GB"/>
        </w:rPr>
      </w:pPr>
      <w:r w:rsidRPr="00D25BE7">
        <w:rPr>
          <w:rFonts w:asciiTheme="minorHAnsi" w:hAnsiTheme="minorHAnsi"/>
          <w:lang w:val="en-GB"/>
        </w:rPr>
        <w:t>Standard Bank</w:t>
      </w:r>
      <w:r w:rsidR="00D71E7D" w:rsidRPr="00D25BE7">
        <w:rPr>
          <w:rFonts w:asciiTheme="minorHAnsi" w:hAnsiTheme="minorHAnsi"/>
          <w:lang w:val="en-GB"/>
        </w:rPr>
        <w:t xml:space="preserve"> </w:t>
      </w:r>
      <w:r w:rsidR="0019797C" w:rsidRPr="00D25BE7">
        <w:rPr>
          <w:rFonts w:asciiTheme="minorHAnsi" w:hAnsiTheme="minorHAnsi"/>
          <w:lang w:val="en-GB"/>
        </w:rPr>
        <w:t>had an unqualified audit report.</w:t>
      </w:r>
    </w:p>
    <w:p w14:paraId="27ACC178" w14:textId="77777777" w:rsidR="000068B0" w:rsidRPr="00D25BE7" w:rsidRDefault="000068B0" w:rsidP="000068B0">
      <w:pPr>
        <w:pStyle w:val="ListParagraph"/>
        <w:numPr>
          <w:ilvl w:val="0"/>
          <w:numId w:val="0"/>
        </w:numPr>
        <w:ind w:left="567"/>
        <w:rPr>
          <w:rFonts w:asciiTheme="minorHAnsi" w:hAnsiTheme="minorHAnsi"/>
          <w:lang w:val="en-GB"/>
        </w:rPr>
      </w:pPr>
    </w:p>
    <w:p w14:paraId="16FFA0D1" w14:textId="13CECAD5" w:rsidR="00A467C2" w:rsidRPr="00D25BE7" w:rsidRDefault="000348E8" w:rsidP="00A467C2">
      <w:pPr>
        <w:pStyle w:val="Heading1"/>
        <w:rPr>
          <w:rFonts w:asciiTheme="minorHAnsi" w:hAnsiTheme="minorHAnsi"/>
        </w:rPr>
      </w:pPr>
      <w:bookmarkStart w:id="30" w:name="_Toc455467808"/>
      <w:r w:rsidRPr="00D25BE7">
        <w:rPr>
          <w:rFonts w:asciiTheme="minorHAnsi" w:hAnsiTheme="minorHAnsi"/>
        </w:rPr>
        <w:t>CONCLUSIONS AND RECOMMENDATIONS</w:t>
      </w:r>
      <w:bookmarkEnd w:id="30"/>
    </w:p>
    <w:p w14:paraId="5D74204F" w14:textId="574509E8" w:rsidR="00C5680A" w:rsidRDefault="00C5680A" w:rsidP="00A467C2">
      <w:pPr>
        <w:pStyle w:val="ListParagraph"/>
        <w:ind w:left="426" w:hanging="426"/>
        <w:rPr>
          <w:rFonts w:asciiTheme="minorHAnsi" w:hAnsiTheme="minorHAnsi"/>
          <w:color w:val="000000" w:themeColor="text1"/>
          <w:szCs w:val="22"/>
          <w:lang w:val="en-GB"/>
        </w:rPr>
      </w:pPr>
      <w:r>
        <w:rPr>
          <w:rFonts w:asciiTheme="minorHAnsi" w:hAnsiTheme="minorHAnsi"/>
          <w:color w:val="000000" w:themeColor="text1"/>
          <w:szCs w:val="22"/>
          <w:lang w:val="en-GB"/>
        </w:rPr>
        <w:t xml:space="preserve">Companies in the GoL’s portfolio are of significant importance to the country’s economy. </w:t>
      </w:r>
      <w:r w:rsidR="002A6B2D">
        <w:rPr>
          <w:rFonts w:asciiTheme="minorHAnsi" w:hAnsiTheme="minorHAnsi"/>
          <w:color w:val="000000" w:themeColor="text1"/>
          <w:szCs w:val="22"/>
          <w:lang w:val="en-GB"/>
        </w:rPr>
        <w:t>Total revenue of all companies in the portfolio is</w:t>
      </w:r>
      <w:r w:rsidR="00305F48">
        <w:rPr>
          <w:rFonts w:asciiTheme="minorHAnsi" w:hAnsiTheme="minorHAnsi"/>
          <w:color w:val="000000" w:themeColor="text1"/>
          <w:szCs w:val="22"/>
          <w:lang w:val="en-GB"/>
        </w:rPr>
        <w:t xml:space="preserve"> equivalent to 25% of GDP. However</w:t>
      </w:r>
      <w:r w:rsidR="002A6B2D">
        <w:rPr>
          <w:rFonts w:asciiTheme="minorHAnsi" w:hAnsiTheme="minorHAnsi"/>
          <w:color w:val="000000" w:themeColor="text1"/>
          <w:szCs w:val="22"/>
          <w:lang w:val="en-GB"/>
        </w:rPr>
        <w:t xml:space="preserve">, </w:t>
      </w:r>
      <w:r w:rsidR="00305F48">
        <w:rPr>
          <w:rFonts w:asciiTheme="minorHAnsi" w:hAnsiTheme="minorHAnsi"/>
          <w:color w:val="000000" w:themeColor="text1"/>
          <w:szCs w:val="22"/>
          <w:lang w:val="en-GB"/>
        </w:rPr>
        <w:t xml:space="preserve">much of this </w:t>
      </w:r>
      <w:r w:rsidR="00DE3FAC">
        <w:rPr>
          <w:rFonts w:asciiTheme="minorHAnsi" w:hAnsiTheme="minorHAnsi"/>
          <w:color w:val="000000" w:themeColor="text1"/>
          <w:szCs w:val="22"/>
          <w:lang w:val="en-GB"/>
        </w:rPr>
        <w:t>is concentrated in the largest 5</w:t>
      </w:r>
      <w:r w:rsidR="00305F48">
        <w:rPr>
          <w:rFonts w:asciiTheme="minorHAnsi" w:hAnsiTheme="minorHAnsi"/>
          <w:color w:val="000000" w:themeColor="text1"/>
          <w:szCs w:val="22"/>
          <w:lang w:val="en-GB"/>
        </w:rPr>
        <w:t xml:space="preserve"> companies whose </w:t>
      </w:r>
      <w:r w:rsidR="00DE3FAC">
        <w:rPr>
          <w:rFonts w:asciiTheme="minorHAnsi" w:hAnsiTheme="minorHAnsi"/>
          <w:color w:val="000000" w:themeColor="text1"/>
          <w:szCs w:val="22"/>
          <w:lang w:val="en-GB"/>
        </w:rPr>
        <w:t>individual revenue is eq</w:t>
      </w:r>
      <w:r w:rsidR="002A6B2D">
        <w:rPr>
          <w:rFonts w:asciiTheme="minorHAnsi" w:hAnsiTheme="minorHAnsi"/>
          <w:color w:val="000000" w:themeColor="text1"/>
          <w:szCs w:val="22"/>
          <w:lang w:val="en-GB"/>
        </w:rPr>
        <w:t>uivalent to more than 2%</w:t>
      </w:r>
      <w:r w:rsidR="00B02197">
        <w:rPr>
          <w:rFonts w:asciiTheme="minorHAnsi" w:hAnsiTheme="minorHAnsi"/>
          <w:color w:val="000000" w:themeColor="text1"/>
          <w:szCs w:val="22"/>
          <w:lang w:val="en-GB"/>
        </w:rPr>
        <w:t xml:space="preserve"> </w:t>
      </w:r>
      <w:r w:rsidR="002A6B2D">
        <w:rPr>
          <w:rFonts w:asciiTheme="minorHAnsi" w:hAnsiTheme="minorHAnsi"/>
          <w:color w:val="000000" w:themeColor="text1"/>
          <w:szCs w:val="22"/>
          <w:lang w:val="en-GB"/>
        </w:rPr>
        <w:t xml:space="preserve">of GDP and </w:t>
      </w:r>
      <w:r w:rsidR="00DE3FAC">
        <w:rPr>
          <w:rFonts w:asciiTheme="minorHAnsi" w:hAnsiTheme="minorHAnsi"/>
          <w:color w:val="000000" w:themeColor="text1"/>
          <w:szCs w:val="22"/>
          <w:lang w:val="en-GB"/>
        </w:rPr>
        <w:t xml:space="preserve">collectively </w:t>
      </w:r>
      <w:r w:rsidR="002A6B2D">
        <w:rPr>
          <w:rFonts w:asciiTheme="minorHAnsi" w:hAnsiTheme="minorHAnsi"/>
          <w:color w:val="000000" w:themeColor="text1"/>
          <w:szCs w:val="22"/>
          <w:lang w:val="en-GB"/>
        </w:rPr>
        <w:t>19.3%.</w:t>
      </w:r>
    </w:p>
    <w:p w14:paraId="0E99E273" w14:textId="74846C91" w:rsidR="00B02197" w:rsidRDefault="00B02197" w:rsidP="00A467C2">
      <w:pPr>
        <w:pStyle w:val="ListParagraph"/>
        <w:ind w:left="426" w:hanging="426"/>
        <w:rPr>
          <w:rFonts w:asciiTheme="minorHAnsi" w:hAnsiTheme="minorHAnsi"/>
          <w:color w:val="000000" w:themeColor="text1"/>
          <w:szCs w:val="22"/>
          <w:lang w:val="en-GB"/>
        </w:rPr>
      </w:pPr>
      <w:r>
        <w:rPr>
          <w:rFonts w:asciiTheme="minorHAnsi" w:hAnsiTheme="minorHAnsi"/>
          <w:color w:val="000000" w:themeColor="text1"/>
          <w:szCs w:val="22"/>
          <w:lang w:val="en-GB"/>
        </w:rPr>
        <w:t xml:space="preserve">Overall, the GoL’s equity in the portfolio is increasing in value </w:t>
      </w:r>
      <w:r w:rsidR="001700C3">
        <w:rPr>
          <w:rFonts w:asciiTheme="minorHAnsi" w:hAnsiTheme="minorHAnsi"/>
          <w:color w:val="000000" w:themeColor="text1"/>
          <w:szCs w:val="22"/>
          <w:lang w:val="en-GB"/>
        </w:rPr>
        <w:t>from approximately US$310 million in 2013/2014 to approximately US$44</w:t>
      </w:r>
      <w:r w:rsidR="002D1933">
        <w:rPr>
          <w:rFonts w:asciiTheme="minorHAnsi" w:hAnsiTheme="minorHAnsi"/>
          <w:color w:val="000000" w:themeColor="text1"/>
          <w:szCs w:val="22"/>
          <w:lang w:val="en-GB"/>
        </w:rPr>
        <w:t>7</w:t>
      </w:r>
      <w:r w:rsidR="001700C3">
        <w:rPr>
          <w:rFonts w:asciiTheme="minorHAnsi" w:hAnsiTheme="minorHAnsi"/>
          <w:color w:val="000000" w:themeColor="text1"/>
          <w:szCs w:val="22"/>
          <w:lang w:val="en-GB"/>
        </w:rPr>
        <w:t xml:space="preserve"> million in 2017/18 and the portfolio has enjoyed sustained EBITDA growth. However</w:t>
      </w:r>
      <w:r w:rsidR="00FA7E22">
        <w:rPr>
          <w:rFonts w:asciiTheme="minorHAnsi" w:hAnsiTheme="minorHAnsi"/>
          <w:color w:val="000000" w:themeColor="text1"/>
          <w:szCs w:val="22"/>
          <w:lang w:val="en-GB"/>
        </w:rPr>
        <w:t xml:space="preserve"> ROE and ROA have not demonstrated similar improvements. </w:t>
      </w:r>
    </w:p>
    <w:p w14:paraId="67ACA53E" w14:textId="23BD5119" w:rsidR="00FA7E22" w:rsidRDefault="00FA7E22" w:rsidP="00A467C2">
      <w:pPr>
        <w:pStyle w:val="ListParagraph"/>
        <w:ind w:left="426" w:hanging="426"/>
        <w:rPr>
          <w:rFonts w:asciiTheme="minorHAnsi" w:hAnsiTheme="minorHAnsi"/>
          <w:color w:val="000000" w:themeColor="text1"/>
          <w:szCs w:val="22"/>
          <w:lang w:val="en-GB"/>
        </w:rPr>
      </w:pPr>
      <w:r>
        <w:rPr>
          <w:rFonts w:asciiTheme="minorHAnsi" w:hAnsiTheme="minorHAnsi"/>
          <w:color w:val="000000" w:themeColor="text1"/>
          <w:szCs w:val="22"/>
          <w:lang w:val="en-GB"/>
        </w:rPr>
        <w:t xml:space="preserve">Whilst dividends and tax receipts have grown significantly they are vulnerable in that there is a dependency on the mining sector and </w:t>
      </w:r>
      <w:proofErr w:type="spellStart"/>
      <w:r w:rsidR="001A196E">
        <w:rPr>
          <w:rFonts w:asciiTheme="minorHAnsi" w:hAnsiTheme="minorHAnsi"/>
          <w:color w:val="000000" w:themeColor="text1"/>
          <w:szCs w:val="22"/>
          <w:lang w:val="en-GB"/>
        </w:rPr>
        <w:t>Letseng</w:t>
      </w:r>
      <w:proofErr w:type="spellEnd"/>
      <w:r w:rsidR="001A196E">
        <w:rPr>
          <w:rFonts w:asciiTheme="minorHAnsi" w:hAnsiTheme="minorHAnsi"/>
          <w:color w:val="000000" w:themeColor="text1"/>
          <w:szCs w:val="22"/>
          <w:lang w:val="en-GB"/>
        </w:rPr>
        <w:t xml:space="preserve"> Diamonds in particular. FY2017/18 has highlighted that vulnerability as </w:t>
      </w:r>
      <w:proofErr w:type="spellStart"/>
      <w:r w:rsidR="001A196E">
        <w:rPr>
          <w:rFonts w:asciiTheme="minorHAnsi" w:hAnsiTheme="minorHAnsi"/>
          <w:color w:val="000000" w:themeColor="text1"/>
          <w:szCs w:val="22"/>
          <w:lang w:val="en-GB"/>
        </w:rPr>
        <w:t>Letseng’s</w:t>
      </w:r>
      <w:proofErr w:type="spellEnd"/>
      <w:r w:rsidR="001A196E">
        <w:rPr>
          <w:rFonts w:asciiTheme="minorHAnsi" w:hAnsiTheme="minorHAnsi"/>
          <w:color w:val="000000" w:themeColor="text1"/>
          <w:szCs w:val="22"/>
          <w:lang w:val="en-GB"/>
        </w:rPr>
        <w:t xml:space="preserve"> tax payments have decreased by approx. </w:t>
      </w:r>
      <w:r w:rsidR="009947B5">
        <w:rPr>
          <w:rFonts w:asciiTheme="minorHAnsi" w:hAnsiTheme="minorHAnsi"/>
          <w:color w:val="000000" w:themeColor="text1"/>
          <w:szCs w:val="22"/>
          <w:lang w:val="en-GB"/>
        </w:rPr>
        <w:t>51.6</w:t>
      </w:r>
      <w:r w:rsidR="001A196E">
        <w:rPr>
          <w:rFonts w:asciiTheme="minorHAnsi" w:hAnsiTheme="minorHAnsi"/>
          <w:color w:val="000000" w:themeColor="text1"/>
          <w:szCs w:val="22"/>
          <w:lang w:val="en-GB"/>
        </w:rPr>
        <w:t xml:space="preserve">% and the company did not declare a dividend </w:t>
      </w:r>
      <w:r w:rsidR="00431394">
        <w:rPr>
          <w:rFonts w:asciiTheme="minorHAnsi" w:hAnsiTheme="minorHAnsi"/>
          <w:color w:val="000000" w:themeColor="text1"/>
          <w:szCs w:val="22"/>
          <w:lang w:val="en-GB"/>
        </w:rPr>
        <w:t xml:space="preserve">for the FY 2017/18 </w:t>
      </w:r>
      <w:r w:rsidR="001A196E">
        <w:rPr>
          <w:rFonts w:asciiTheme="minorHAnsi" w:hAnsiTheme="minorHAnsi"/>
          <w:color w:val="000000" w:themeColor="text1"/>
          <w:szCs w:val="22"/>
          <w:lang w:val="en-GB"/>
        </w:rPr>
        <w:t xml:space="preserve">(the dividend for 2017 was </w:t>
      </w:r>
      <w:r w:rsidR="00355BD8">
        <w:rPr>
          <w:rFonts w:asciiTheme="minorHAnsi" w:hAnsiTheme="minorHAnsi"/>
          <w:color w:val="000000" w:themeColor="text1"/>
          <w:szCs w:val="22"/>
          <w:lang w:val="en-GB"/>
        </w:rPr>
        <w:t>M219,000,000) which has a major impact on GOL’s direct inflows.</w:t>
      </w:r>
    </w:p>
    <w:p w14:paraId="2DD7A711" w14:textId="5F69C4E1" w:rsidR="006473BE" w:rsidRDefault="006473BE" w:rsidP="006473BE">
      <w:pPr>
        <w:pStyle w:val="ListParagraph"/>
        <w:ind w:left="426" w:hanging="426"/>
        <w:rPr>
          <w:rFonts w:asciiTheme="minorHAnsi" w:hAnsiTheme="minorHAnsi"/>
        </w:rPr>
      </w:pPr>
      <w:r w:rsidRPr="006473BE">
        <w:rPr>
          <w:rFonts w:asciiTheme="minorHAnsi" w:hAnsiTheme="minorHAnsi"/>
        </w:rPr>
        <w:t>The backlog of audited financial statements detailed in the Auditor-General’s Report; the difficulty faced by the PSD in obtaining audited financial statements; the apparent lack of effort by Boards to attend to issues highlighted in audits that receive qualified or adverse audit opinions; and, the level of non compliance with the PFMAA and/or the Companies Act highlights the poor corporate governance practices followed by companies in the GoL’s portfolio. The Boards of these companies do not appear to be concerned about these issues. This is a reflection of the political nature of the Board appointments and the complete lack of sanctions / penalties that can be imposed on either individual members of the Board, the Board as a unit or the company itself. T</w:t>
      </w:r>
      <w:r>
        <w:rPr>
          <w:rFonts w:asciiTheme="minorHAnsi" w:hAnsiTheme="minorHAnsi"/>
        </w:rPr>
        <w:t xml:space="preserve">he </w:t>
      </w:r>
      <w:r w:rsidRPr="006473BE">
        <w:rPr>
          <w:rFonts w:asciiTheme="minorHAnsi" w:hAnsiTheme="minorHAnsi"/>
        </w:rPr>
        <w:t xml:space="preserve">GoL must address the issue of non-compliance and </w:t>
      </w:r>
      <w:r w:rsidRPr="006473BE">
        <w:rPr>
          <w:rFonts w:asciiTheme="minorHAnsi" w:hAnsiTheme="minorHAnsi"/>
        </w:rPr>
        <w:lastRenderedPageBreak/>
        <w:t>sanctions / penalties either through amendments to the PFMAA and the Companies Act and / or the introduction of an SOE Act as recommended in the SOE Policy that was developed in 2019.</w:t>
      </w:r>
    </w:p>
    <w:p w14:paraId="5667729C" w14:textId="77777777" w:rsidR="0045733E" w:rsidRPr="007A3A7D" w:rsidRDefault="0045733E" w:rsidP="007A3A7D">
      <w:pPr>
        <w:pStyle w:val="ListParagraph"/>
        <w:ind w:left="426" w:hanging="426"/>
        <w:rPr>
          <w:rFonts w:asciiTheme="minorHAnsi" w:hAnsiTheme="minorHAnsi"/>
          <w:color w:val="000000" w:themeColor="text1"/>
          <w:szCs w:val="22"/>
          <w:lang w:val="en-GB"/>
        </w:rPr>
      </w:pPr>
      <w:r w:rsidRPr="007A3A7D">
        <w:rPr>
          <w:rFonts w:asciiTheme="minorHAnsi" w:hAnsiTheme="minorHAnsi"/>
          <w:color w:val="000000" w:themeColor="text1"/>
          <w:szCs w:val="22"/>
          <w:lang w:val="en-GB"/>
        </w:rPr>
        <w:t>Good corporate governance by the GoL and by the SOEs themselves is critical if SOEs are to contribute effectively to the economic and social development of the country. In recent years SOEs have been perceived rather negatively; good governance is required to bring back some credibility to the sector and engender public confidence in the companies and in the way in which the GoL implements its oversight and performance evaluation.</w:t>
      </w:r>
    </w:p>
    <w:p w14:paraId="59A4A7E2" w14:textId="77777777" w:rsidR="0045733E" w:rsidRPr="007A3A7D" w:rsidRDefault="0045733E" w:rsidP="007A3A7D">
      <w:pPr>
        <w:pStyle w:val="ListParagraph"/>
        <w:ind w:left="426" w:hanging="426"/>
        <w:rPr>
          <w:rFonts w:asciiTheme="minorHAnsi" w:hAnsiTheme="minorHAnsi"/>
          <w:color w:val="000000" w:themeColor="text1"/>
          <w:szCs w:val="22"/>
          <w:lang w:val="en-GB"/>
        </w:rPr>
      </w:pPr>
      <w:r w:rsidRPr="007A3A7D">
        <w:rPr>
          <w:rFonts w:asciiTheme="minorHAnsi" w:hAnsiTheme="minorHAnsi"/>
          <w:color w:val="000000" w:themeColor="text1"/>
          <w:szCs w:val="22"/>
          <w:lang w:val="en-GB"/>
        </w:rPr>
        <w:t xml:space="preserve">The SOE policy should be applicable to all companies in which GoL directly, or through LNDC, owns more than 50% of the equity or is the majority owner. In respect of the other companies in which the state is has a significant investment, GoL should try ensure that the ownership policy is applied. </w:t>
      </w:r>
    </w:p>
    <w:p w14:paraId="1CC96172" w14:textId="77777777" w:rsidR="0045733E" w:rsidRPr="007A3A7D" w:rsidRDefault="0045733E" w:rsidP="007A3A7D">
      <w:pPr>
        <w:pStyle w:val="ListParagraph"/>
        <w:ind w:left="426" w:hanging="426"/>
        <w:rPr>
          <w:rFonts w:asciiTheme="minorHAnsi" w:hAnsiTheme="minorHAnsi"/>
          <w:color w:val="000000" w:themeColor="text1"/>
          <w:szCs w:val="22"/>
          <w:lang w:val="en-GB"/>
        </w:rPr>
      </w:pPr>
      <w:r w:rsidRPr="007A3A7D">
        <w:rPr>
          <w:rFonts w:asciiTheme="minorHAnsi" w:hAnsiTheme="minorHAnsi"/>
          <w:color w:val="000000" w:themeColor="text1"/>
          <w:szCs w:val="22"/>
          <w:lang w:val="en-GB"/>
        </w:rPr>
        <w:t xml:space="preserve">Although the PFMAA provides a level of direction and control of fiscal policy over SOEs there is no ‘SOE Act’, nor other overarching legislation that defines and controls how SOEs should operate, be governed and how oversight and monitoring and evaluation should be implemented.  </w:t>
      </w:r>
    </w:p>
    <w:p w14:paraId="74AC0BCE" w14:textId="77777777" w:rsidR="0045733E" w:rsidRPr="007F7CC1" w:rsidRDefault="0045733E" w:rsidP="007A3A7D">
      <w:pPr>
        <w:pStyle w:val="ListParagraph"/>
        <w:ind w:left="426" w:hanging="426"/>
        <w:rPr>
          <w:rFonts w:asciiTheme="minorHAnsi" w:hAnsiTheme="minorHAnsi"/>
          <w:color w:val="000000" w:themeColor="text1"/>
          <w:szCs w:val="22"/>
          <w:lang w:val="en-GB"/>
        </w:rPr>
      </w:pPr>
      <w:r w:rsidRPr="007F7CC1">
        <w:rPr>
          <w:rFonts w:asciiTheme="minorHAnsi" w:hAnsiTheme="minorHAnsi"/>
          <w:color w:val="000000" w:themeColor="text1"/>
          <w:szCs w:val="22"/>
          <w:lang w:val="en-GB"/>
        </w:rPr>
        <w:t>Strengthening corporate governance and dividend policy should lead to: greater scrutiny of capital allocation, making it more difficult for managers to invest in bad projects; and enhancing shareholder wealth while minimizing the financial and fiscal risks of SOEs. Profitable SOEs should provide funds for public spending to improve the equity of key public services, such as education and health.</w:t>
      </w:r>
      <w:r w:rsidRPr="007F7CC1">
        <w:rPr>
          <w:color w:val="000000" w:themeColor="text1"/>
          <w:lang w:val="en-GB"/>
        </w:rPr>
        <w:footnoteReference w:id="10"/>
      </w:r>
      <w:r w:rsidRPr="007F7CC1">
        <w:rPr>
          <w:rFonts w:asciiTheme="minorHAnsi" w:hAnsiTheme="minorHAnsi"/>
          <w:color w:val="000000" w:themeColor="text1"/>
          <w:szCs w:val="22"/>
          <w:lang w:val="en-GB"/>
        </w:rPr>
        <w:t xml:space="preserve"> They are also much more attractive to potential investors as and when GoL decides each company is ready for divestment.</w:t>
      </w:r>
    </w:p>
    <w:p w14:paraId="4EF6354C" w14:textId="73602770" w:rsidR="0045733E" w:rsidRPr="007F7CC1" w:rsidRDefault="0045733E" w:rsidP="007F7CC1">
      <w:pPr>
        <w:pStyle w:val="ListParagraph"/>
        <w:ind w:left="426" w:hanging="426"/>
        <w:rPr>
          <w:rFonts w:asciiTheme="minorHAnsi" w:hAnsiTheme="minorHAnsi"/>
          <w:color w:val="000000" w:themeColor="text1"/>
          <w:szCs w:val="22"/>
          <w:lang w:val="en-GB"/>
        </w:rPr>
      </w:pPr>
      <w:r w:rsidRPr="007F7CC1">
        <w:rPr>
          <w:rFonts w:asciiTheme="minorHAnsi" w:hAnsiTheme="minorHAnsi"/>
          <w:color w:val="000000" w:themeColor="text1"/>
          <w:szCs w:val="22"/>
          <w:lang w:val="en-GB"/>
        </w:rPr>
        <w:t>Moving the oversight of SOE’s and invested companies away from Ministries to a centralized oversight structure and strengthening the governance of Board appointments would help depoliticize and support the professionalization of SOE Boards.</w:t>
      </w:r>
    </w:p>
    <w:p w14:paraId="41033005" w14:textId="05B46E57" w:rsidR="009C66C2" w:rsidRPr="000068B0" w:rsidRDefault="009C66C2" w:rsidP="009C66C2">
      <w:pPr>
        <w:pStyle w:val="ListParagraph"/>
        <w:ind w:left="426" w:hanging="426"/>
        <w:rPr>
          <w:rFonts w:asciiTheme="minorHAnsi" w:hAnsiTheme="minorHAnsi"/>
          <w:color w:val="000000" w:themeColor="text1"/>
          <w:szCs w:val="22"/>
          <w:lang w:val="en-GB"/>
        </w:rPr>
      </w:pPr>
      <w:r w:rsidRPr="00D25BE7">
        <w:rPr>
          <w:rFonts w:asciiTheme="minorHAnsi" w:hAnsiTheme="minorHAnsi"/>
          <w:color w:val="000000" w:themeColor="text1"/>
          <w:szCs w:val="22"/>
          <w:lang w:val="en-GB"/>
        </w:rPr>
        <w:t>SOEs under government control are subject to the PFMAA and Part VI (PFMAA) with special emphasis on sections 41 – 43 needs to be properly enforced. This will require political will and cooperation between ministries and Ministers.</w:t>
      </w:r>
      <w:r>
        <w:rPr>
          <w:rFonts w:asciiTheme="minorHAnsi" w:hAnsiTheme="minorHAnsi"/>
          <w:color w:val="000000" w:themeColor="text1"/>
          <w:szCs w:val="22"/>
          <w:lang w:val="en-GB"/>
        </w:rPr>
        <w:t xml:space="preserve"> </w:t>
      </w:r>
    </w:p>
    <w:p w14:paraId="5B598700" w14:textId="30DCE22E" w:rsidR="00EA6A70" w:rsidRPr="007A0F4A" w:rsidRDefault="009C66C2" w:rsidP="00004090">
      <w:pPr>
        <w:pStyle w:val="ListParagraph"/>
        <w:ind w:left="426" w:hanging="426"/>
        <w:rPr>
          <w:rFonts w:asciiTheme="minorHAnsi" w:hAnsiTheme="minorHAnsi"/>
        </w:rPr>
      </w:pPr>
      <w:r>
        <w:rPr>
          <w:rFonts w:asciiTheme="minorHAnsi" w:hAnsiTheme="minorHAnsi"/>
          <w:color w:val="000000" w:themeColor="text1"/>
          <w:szCs w:val="22"/>
          <w:lang w:val="en-GB"/>
        </w:rPr>
        <w:t>All Boards must attend promptly to issues raised in audits that have received qualified / adverse opinions. It is a failure of the regulatory environment and political will that such issues are not addressed and resolved.</w:t>
      </w:r>
    </w:p>
    <w:p w14:paraId="5EF671EC" w14:textId="0B74D05B" w:rsidR="00B12554" w:rsidRPr="00C9230E" w:rsidRDefault="00B12554" w:rsidP="00C9230E">
      <w:pPr>
        <w:pStyle w:val="ListParagraph"/>
        <w:ind w:left="426" w:hanging="426"/>
        <w:rPr>
          <w:rFonts w:asciiTheme="minorHAnsi" w:hAnsiTheme="minorHAnsi"/>
        </w:rPr>
      </w:pPr>
      <w:r w:rsidRPr="00C9230E">
        <w:rPr>
          <w:rFonts w:asciiTheme="minorHAnsi" w:hAnsiTheme="minorHAnsi"/>
        </w:rPr>
        <w:t xml:space="preserve">SOEs should </w:t>
      </w:r>
      <w:r>
        <w:rPr>
          <w:rFonts w:asciiTheme="minorHAnsi" w:hAnsiTheme="minorHAnsi"/>
        </w:rPr>
        <w:t>b</w:t>
      </w:r>
      <w:r w:rsidRPr="00C9230E">
        <w:rPr>
          <w:rFonts w:asciiTheme="minorHAnsi" w:hAnsiTheme="minorHAnsi"/>
        </w:rPr>
        <w:t xml:space="preserve">e required to present Corporate Plans to </w:t>
      </w:r>
      <w:proofErr w:type="spellStart"/>
      <w:r w:rsidRPr="00C9230E">
        <w:rPr>
          <w:rFonts w:asciiTheme="minorHAnsi" w:hAnsiTheme="minorHAnsi"/>
        </w:rPr>
        <w:t>MoF</w:t>
      </w:r>
      <w:proofErr w:type="spellEnd"/>
      <w:r w:rsidRPr="00C9230E">
        <w:rPr>
          <w:rFonts w:asciiTheme="minorHAnsi" w:hAnsiTheme="minorHAnsi"/>
        </w:rPr>
        <w:t xml:space="preserve"> highlighting a 3year (minimum) strategy with clear and measurable objectives (financial and non-financial key performance indicators). </w:t>
      </w:r>
    </w:p>
    <w:p w14:paraId="495385F0" w14:textId="19EDB7C0" w:rsidR="006473BE" w:rsidRPr="007A0F4A" w:rsidRDefault="00B12554" w:rsidP="00F8047D">
      <w:pPr>
        <w:pStyle w:val="ListParagraph"/>
        <w:ind w:left="426" w:hanging="426"/>
        <w:rPr>
          <w:rFonts w:asciiTheme="minorHAnsi" w:hAnsiTheme="minorHAnsi"/>
        </w:rPr>
      </w:pPr>
      <w:r w:rsidRPr="00C9230E">
        <w:rPr>
          <w:rFonts w:asciiTheme="minorHAnsi" w:hAnsiTheme="minorHAnsi"/>
        </w:rPr>
        <w:t xml:space="preserve">The Corporate Plans of the 100% SOEs (LEC, WASCO, LNDC, LTDC, LHLDC, LPB, BEDCO) should highlight how their Plan is aligned with the Lesotho National Strategic Development Plan. These </w:t>
      </w:r>
      <w:r w:rsidRPr="00C9230E">
        <w:rPr>
          <w:rFonts w:asciiTheme="minorHAnsi" w:hAnsiTheme="minorHAnsi"/>
        </w:rPr>
        <w:lastRenderedPageBreak/>
        <w:t>companies, in particular, require performance to be assessed not just against commercial objectives but also social obligations and their contribution towards achieving the Lesotho National Strategic Development Plan.</w:t>
      </w:r>
    </w:p>
    <w:p w14:paraId="4D282829" w14:textId="24DDDE19" w:rsidR="006260A5" w:rsidRDefault="006260A5" w:rsidP="00A467C2">
      <w:pPr>
        <w:pStyle w:val="ListParagraph"/>
        <w:ind w:left="426" w:hanging="426"/>
        <w:rPr>
          <w:rFonts w:asciiTheme="minorHAnsi" w:hAnsiTheme="minorHAnsi"/>
          <w:color w:val="000000" w:themeColor="text1"/>
          <w:szCs w:val="22"/>
          <w:lang w:val="en-GB"/>
        </w:rPr>
      </w:pPr>
      <w:r>
        <w:rPr>
          <w:rFonts w:asciiTheme="minorHAnsi" w:hAnsiTheme="minorHAnsi"/>
          <w:color w:val="000000" w:themeColor="text1"/>
          <w:szCs w:val="22"/>
          <w:lang w:val="en-GB"/>
        </w:rPr>
        <w:t>There is a need to focus on improving the performance of almost all companies in the portfolio</w:t>
      </w:r>
      <w:r w:rsidR="006473BE">
        <w:rPr>
          <w:rFonts w:asciiTheme="minorHAnsi" w:hAnsiTheme="minorHAnsi"/>
          <w:color w:val="000000" w:themeColor="text1"/>
          <w:szCs w:val="22"/>
          <w:lang w:val="en-GB"/>
        </w:rPr>
        <w:t>.</w:t>
      </w:r>
    </w:p>
    <w:p w14:paraId="661FDF38" w14:textId="125751F0" w:rsidR="006260A5" w:rsidRDefault="006260A5" w:rsidP="00A467C2">
      <w:pPr>
        <w:pStyle w:val="ListParagraph"/>
        <w:ind w:left="426" w:hanging="426"/>
        <w:rPr>
          <w:rFonts w:asciiTheme="minorHAnsi" w:hAnsiTheme="minorHAnsi"/>
          <w:color w:val="000000" w:themeColor="text1"/>
          <w:szCs w:val="22"/>
          <w:lang w:val="en-GB"/>
        </w:rPr>
      </w:pPr>
      <w:r>
        <w:rPr>
          <w:rFonts w:asciiTheme="minorHAnsi" w:hAnsiTheme="minorHAnsi"/>
          <w:color w:val="000000" w:themeColor="text1"/>
          <w:szCs w:val="22"/>
          <w:lang w:val="en-GB"/>
        </w:rPr>
        <w:t>LEC needs to improve its efficiencies and in particular reduce the level of distribution losses and improve its debt collection</w:t>
      </w:r>
      <w:r w:rsidR="00735E5F">
        <w:rPr>
          <w:rFonts w:asciiTheme="minorHAnsi" w:hAnsiTheme="minorHAnsi"/>
          <w:color w:val="000000" w:themeColor="text1"/>
          <w:szCs w:val="22"/>
          <w:lang w:val="en-GB"/>
        </w:rPr>
        <w:t>. The GoL, ministries and government agencies and parastatals have to take responsibility to ensure that they are not delaying payment of their debts.</w:t>
      </w:r>
    </w:p>
    <w:p w14:paraId="099B1B8C" w14:textId="6E9E2152" w:rsidR="006260A5" w:rsidRDefault="00735E5F" w:rsidP="00A467C2">
      <w:pPr>
        <w:pStyle w:val="ListParagraph"/>
        <w:ind w:left="426" w:hanging="426"/>
        <w:rPr>
          <w:rFonts w:asciiTheme="minorHAnsi" w:hAnsiTheme="minorHAnsi"/>
          <w:color w:val="000000" w:themeColor="text1"/>
          <w:szCs w:val="22"/>
          <w:lang w:val="en-GB"/>
        </w:rPr>
      </w:pPr>
      <w:r>
        <w:rPr>
          <w:rFonts w:asciiTheme="minorHAnsi" w:hAnsiTheme="minorHAnsi"/>
          <w:color w:val="000000" w:themeColor="text1"/>
          <w:szCs w:val="22"/>
          <w:lang w:val="en-GB"/>
        </w:rPr>
        <w:t xml:space="preserve">WASCO is failing badly in water losses at 41.5%. This is non sustainable in a country that suffers greatly from drought. </w:t>
      </w:r>
      <w:r w:rsidR="00966702">
        <w:rPr>
          <w:rFonts w:asciiTheme="minorHAnsi" w:hAnsiTheme="minorHAnsi"/>
          <w:color w:val="000000" w:themeColor="text1"/>
          <w:szCs w:val="22"/>
          <w:lang w:val="en-GB"/>
        </w:rPr>
        <w:t xml:space="preserve">It too requires the </w:t>
      </w:r>
      <w:r>
        <w:rPr>
          <w:rFonts w:asciiTheme="minorHAnsi" w:hAnsiTheme="minorHAnsi"/>
          <w:color w:val="000000" w:themeColor="text1"/>
          <w:szCs w:val="22"/>
          <w:lang w:val="en-GB"/>
        </w:rPr>
        <w:t xml:space="preserve">public </w:t>
      </w:r>
      <w:r w:rsidR="00966702">
        <w:rPr>
          <w:rFonts w:asciiTheme="minorHAnsi" w:hAnsiTheme="minorHAnsi"/>
          <w:color w:val="000000" w:themeColor="text1"/>
          <w:szCs w:val="22"/>
          <w:lang w:val="en-GB"/>
        </w:rPr>
        <w:t>sector to ‘step-up’ and settle WASCO’s invoices timeously.</w:t>
      </w:r>
      <w:r w:rsidR="00571ECF">
        <w:rPr>
          <w:rFonts w:asciiTheme="minorHAnsi" w:hAnsiTheme="minorHAnsi"/>
          <w:color w:val="000000" w:themeColor="text1"/>
          <w:szCs w:val="22"/>
          <w:lang w:val="en-GB"/>
        </w:rPr>
        <w:t xml:space="preserve"> Efficiencies need to be improved to enable WASCO to repay </w:t>
      </w:r>
      <w:r w:rsidR="00F8047D">
        <w:rPr>
          <w:rFonts w:asciiTheme="minorHAnsi" w:hAnsiTheme="minorHAnsi"/>
          <w:color w:val="000000" w:themeColor="text1"/>
          <w:szCs w:val="22"/>
          <w:lang w:val="en-GB"/>
        </w:rPr>
        <w:t xml:space="preserve">its </w:t>
      </w:r>
      <w:r w:rsidR="00571ECF">
        <w:rPr>
          <w:rFonts w:asciiTheme="minorHAnsi" w:hAnsiTheme="minorHAnsi"/>
          <w:color w:val="000000" w:themeColor="text1"/>
          <w:szCs w:val="22"/>
          <w:lang w:val="en-GB"/>
        </w:rPr>
        <w:t>loans (particularly those on-lent and guaranteed by GoL)</w:t>
      </w:r>
      <w:r w:rsidR="00FA6810">
        <w:rPr>
          <w:rFonts w:asciiTheme="minorHAnsi" w:hAnsiTheme="minorHAnsi"/>
          <w:color w:val="000000" w:themeColor="text1"/>
          <w:szCs w:val="22"/>
          <w:lang w:val="en-GB"/>
        </w:rPr>
        <w:t>.</w:t>
      </w:r>
    </w:p>
    <w:p w14:paraId="7A86E205" w14:textId="3C5D6E84" w:rsidR="00FA6810" w:rsidRDefault="00A16746" w:rsidP="00A467C2">
      <w:pPr>
        <w:pStyle w:val="ListParagraph"/>
        <w:ind w:left="426" w:hanging="426"/>
        <w:rPr>
          <w:rFonts w:asciiTheme="minorHAnsi" w:hAnsiTheme="minorHAnsi"/>
          <w:color w:val="000000" w:themeColor="text1"/>
          <w:szCs w:val="22"/>
          <w:lang w:val="en-GB"/>
        </w:rPr>
      </w:pPr>
      <w:r>
        <w:rPr>
          <w:rFonts w:asciiTheme="minorHAnsi" w:hAnsiTheme="minorHAnsi"/>
          <w:color w:val="000000" w:themeColor="text1"/>
          <w:szCs w:val="22"/>
          <w:lang w:val="en-GB"/>
        </w:rPr>
        <w:t xml:space="preserve">Lesotho Post Bank has made some impressive gains and are to be commended for their success. </w:t>
      </w:r>
      <w:r w:rsidR="000B47F3">
        <w:rPr>
          <w:rFonts w:asciiTheme="minorHAnsi" w:hAnsiTheme="minorHAnsi"/>
          <w:color w:val="000000" w:themeColor="text1"/>
          <w:szCs w:val="22"/>
          <w:lang w:val="en-GB"/>
        </w:rPr>
        <w:t>P</w:t>
      </w:r>
      <w:r>
        <w:rPr>
          <w:rFonts w:asciiTheme="minorHAnsi" w:hAnsiTheme="minorHAnsi"/>
          <w:color w:val="000000" w:themeColor="text1"/>
          <w:szCs w:val="22"/>
          <w:lang w:val="en-GB"/>
        </w:rPr>
        <w:t xml:space="preserve">ayments to the Board </w:t>
      </w:r>
      <w:r w:rsidR="000B47F3">
        <w:rPr>
          <w:rFonts w:asciiTheme="minorHAnsi" w:hAnsiTheme="minorHAnsi"/>
          <w:color w:val="000000" w:themeColor="text1"/>
          <w:szCs w:val="22"/>
          <w:lang w:val="en-GB"/>
        </w:rPr>
        <w:t>increased by an average of 82% per person between December 2016 and Dec 2017 and then increased again the following year so that the LPB Board is the highest paid Board amongst SOEs. However, it seems inequitable that GoL is still providing government funding / grants but has not yet received any dividends.</w:t>
      </w:r>
      <w:r w:rsidR="00FA01FF">
        <w:rPr>
          <w:rFonts w:asciiTheme="minorHAnsi" w:hAnsiTheme="minorHAnsi"/>
          <w:color w:val="000000" w:themeColor="text1"/>
          <w:szCs w:val="22"/>
          <w:lang w:val="en-GB"/>
        </w:rPr>
        <w:t xml:space="preserve"> Whilst the old adage ‘customers come first’ is sensible, LPB </w:t>
      </w:r>
      <w:r w:rsidR="00AB545D">
        <w:rPr>
          <w:rFonts w:asciiTheme="minorHAnsi" w:hAnsiTheme="minorHAnsi"/>
          <w:color w:val="000000" w:themeColor="text1"/>
          <w:szCs w:val="22"/>
          <w:lang w:val="en-GB"/>
        </w:rPr>
        <w:t xml:space="preserve">also </w:t>
      </w:r>
      <w:r w:rsidR="00FA01FF">
        <w:rPr>
          <w:rFonts w:asciiTheme="minorHAnsi" w:hAnsiTheme="minorHAnsi"/>
          <w:color w:val="000000" w:themeColor="text1"/>
          <w:szCs w:val="22"/>
          <w:lang w:val="en-GB"/>
        </w:rPr>
        <w:t>need</w:t>
      </w:r>
      <w:r w:rsidR="00AB545D">
        <w:rPr>
          <w:rFonts w:asciiTheme="minorHAnsi" w:hAnsiTheme="minorHAnsi"/>
          <w:color w:val="000000" w:themeColor="text1"/>
          <w:szCs w:val="22"/>
          <w:lang w:val="en-GB"/>
        </w:rPr>
        <w:t>s</w:t>
      </w:r>
      <w:r w:rsidR="00FA01FF">
        <w:rPr>
          <w:rFonts w:asciiTheme="minorHAnsi" w:hAnsiTheme="minorHAnsi"/>
          <w:color w:val="000000" w:themeColor="text1"/>
          <w:szCs w:val="22"/>
          <w:lang w:val="en-GB"/>
        </w:rPr>
        <w:t xml:space="preserve"> to work towards not </w:t>
      </w:r>
      <w:r w:rsidR="00AB545D">
        <w:rPr>
          <w:rFonts w:asciiTheme="minorHAnsi" w:hAnsiTheme="minorHAnsi"/>
          <w:color w:val="000000" w:themeColor="text1"/>
          <w:szCs w:val="22"/>
          <w:lang w:val="en-GB"/>
        </w:rPr>
        <w:t>requiring</w:t>
      </w:r>
      <w:r w:rsidR="00FA01FF">
        <w:rPr>
          <w:rFonts w:asciiTheme="minorHAnsi" w:hAnsiTheme="minorHAnsi"/>
          <w:color w:val="000000" w:themeColor="text1"/>
          <w:szCs w:val="22"/>
          <w:lang w:val="en-GB"/>
        </w:rPr>
        <w:t xml:space="preserve"> government funding and providing </w:t>
      </w:r>
      <w:r w:rsidR="00AB545D">
        <w:rPr>
          <w:rFonts w:asciiTheme="minorHAnsi" w:hAnsiTheme="minorHAnsi"/>
          <w:color w:val="000000" w:themeColor="text1"/>
          <w:szCs w:val="22"/>
          <w:lang w:val="en-GB"/>
        </w:rPr>
        <w:t>payback in the form of dividends.</w:t>
      </w:r>
    </w:p>
    <w:p w14:paraId="67659671" w14:textId="7A025976" w:rsidR="00AB545D" w:rsidRPr="000A05B4" w:rsidRDefault="00AB545D" w:rsidP="000068B0">
      <w:pPr>
        <w:pStyle w:val="ListParagraph"/>
        <w:ind w:left="425" w:hanging="425"/>
        <w:rPr>
          <w:rFonts w:asciiTheme="minorHAnsi" w:hAnsiTheme="minorHAnsi"/>
          <w:color w:val="000000" w:themeColor="text1"/>
          <w:szCs w:val="22"/>
          <w:lang w:val="en-GB"/>
        </w:rPr>
      </w:pPr>
      <w:r>
        <w:rPr>
          <w:rFonts w:asciiTheme="minorHAnsi" w:hAnsiTheme="minorHAnsi"/>
          <w:color w:val="000000" w:themeColor="text1"/>
          <w:szCs w:val="22"/>
          <w:lang w:val="en-GB"/>
        </w:rPr>
        <w:t xml:space="preserve"> </w:t>
      </w:r>
      <w:r w:rsidR="009C66C2">
        <w:rPr>
          <w:rFonts w:asciiTheme="minorHAnsi" w:hAnsiTheme="minorHAnsi"/>
          <w:color w:val="000000" w:themeColor="text1"/>
          <w:szCs w:val="22"/>
          <w:lang w:val="en-GB"/>
        </w:rPr>
        <w:t>T</w:t>
      </w:r>
      <w:r>
        <w:rPr>
          <w:rFonts w:asciiTheme="minorHAnsi" w:hAnsiTheme="minorHAnsi"/>
          <w:color w:val="000000" w:themeColor="text1"/>
          <w:szCs w:val="22"/>
          <w:lang w:val="en-GB"/>
        </w:rPr>
        <w:t xml:space="preserve">here are </w:t>
      </w:r>
      <w:proofErr w:type="gramStart"/>
      <w:r>
        <w:rPr>
          <w:rFonts w:asciiTheme="minorHAnsi" w:hAnsiTheme="minorHAnsi"/>
          <w:color w:val="000000" w:themeColor="text1"/>
          <w:szCs w:val="22"/>
          <w:lang w:val="en-GB"/>
        </w:rPr>
        <w:t>a number of</w:t>
      </w:r>
      <w:proofErr w:type="gramEnd"/>
      <w:r>
        <w:rPr>
          <w:rFonts w:asciiTheme="minorHAnsi" w:hAnsiTheme="minorHAnsi"/>
          <w:color w:val="000000" w:themeColor="text1"/>
          <w:szCs w:val="22"/>
          <w:lang w:val="en-GB"/>
        </w:rPr>
        <w:t xml:space="preserve"> issues to address at Econet including the company’s inability to repay </w:t>
      </w:r>
      <w:r w:rsidR="00456BDA">
        <w:rPr>
          <w:rFonts w:asciiTheme="minorHAnsi" w:hAnsiTheme="minorHAnsi"/>
          <w:color w:val="000000" w:themeColor="text1"/>
          <w:szCs w:val="22"/>
          <w:lang w:val="en-GB"/>
        </w:rPr>
        <w:t xml:space="preserve">the GoL guaranteed loans that have been on-lent from the EXIM Bank of China. However, without sight of the AFS it is difficult to understand the problems. It is understood that a detailed evaluation of Econet has been undertaken but </w:t>
      </w:r>
      <w:r w:rsidR="00456BDA" w:rsidRPr="000A05B4">
        <w:rPr>
          <w:rFonts w:asciiTheme="minorHAnsi" w:hAnsiTheme="minorHAnsi"/>
          <w:color w:val="000000" w:themeColor="text1"/>
          <w:szCs w:val="22"/>
          <w:lang w:val="en-GB"/>
        </w:rPr>
        <w:t>unfortunately the PSD ha</w:t>
      </w:r>
      <w:r w:rsidR="00027EC9" w:rsidRPr="000A05B4">
        <w:rPr>
          <w:rFonts w:asciiTheme="minorHAnsi" w:hAnsiTheme="minorHAnsi"/>
          <w:color w:val="000000" w:themeColor="text1"/>
          <w:szCs w:val="22"/>
          <w:lang w:val="en-GB"/>
        </w:rPr>
        <w:t>s not been privy to the results – it is recommended that the report should be provided to the PSD. In the meantime the following can be considered a) a review of the management contract that allows the private shareholder to receive management fees despite the company suffe</w:t>
      </w:r>
      <w:r w:rsidR="00027EC9" w:rsidRPr="007E7548">
        <w:rPr>
          <w:rFonts w:asciiTheme="minorHAnsi" w:hAnsiTheme="minorHAnsi"/>
          <w:color w:val="000000" w:themeColor="text1"/>
          <w:szCs w:val="22"/>
          <w:lang w:val="en-GB"/>
        </w:rPr>
        <w:t>ring losses</w:t>
      </w:r>
      <w:r w:rsidR="00F8047D">
        <w:rPr>
          <w:rFonts w:asciiTheme="minorHAnsi" w:hAnsiTheme="minorHAnsi"/>
          <w:color w:val="000000" w:themeColor="text1"/>
          <w:szCs w:val="22"/>
          <w:lang w:val="en-GB"/>
        </w:rPr>
        <w:t xml:space="preserve"> yet the </w:t>
      </w:r>
      <w:proofErr w:type="spellStart"/>
      <w:r w:rsidR="00F8047D">
        <w:rPr>
          <w:rFonts w:asciiTheme="minorHAnsi" w:hAnsiTheme="minorHAnsi"/>
          <w:color w:val="000000" w:themeColor="text1"/>
          <w:szCs w:val="22"/>
          <w:lang w:val="en-GB"/>
        </w:rPr>
        <w:t>GoL</w:t>
      </w:r>
      <w:proofErr w:type="spellEnd"/>
      <w:r w:rsidR="00F8047D">
        <w:rPr>
          <w:rFonts w:asciiTheme="minorHAnsi" w:hAnsiTheme="minorHAnsi"/>
          <w:color w:val="000000" w:themeColor="text1"/>
          <w:szCs w:val="22"/>
          <w:lang w:val="en-GB"/>
        </w:rPr>
        <w:t xml:space="preserve"> receives no dividends</w:t>
      </w:r>
      <w:r w:rsidR="002773C1" w:rsidRPr="007E7548">
        <w:rPr>
          <w:rFonts w:asciiTheme="minorHAnsi" w:hAnsiTheme="minorHAnsi"/>
          <w:color w:val="000000" w:themeColor="text1"/>
          <w:szCs w:val="22"/>
          <w:lang w:val="en-GB"/>
        </w:rPr>
        <w:t>;</w:t>
      </w:r>
      <w:r w:rsidR="00027EC9" w:rsidRPr="007E7548">
        <w:rPr>
          <w:rFonts w:asciiTheme="minorHAnsi" w:hAnsiTheme="minorHAnsi"/>
          <w:color w:val="000000" w:themeColor="text1"/>
          <w:szCs w:val="22"/>
          <w:lang w:val="en-GB"/>
        </w:rPr>
        <w:t xml:space="preserve"> b)</w:t>
      </w:r>
      <w:r w:rsidR="002773C1" w:rsidRPr="00431394">
        <w:rPr>
          <w:rFonts w:asciiTheme="minorHAnsi" w:hAnsiTheme="minorHAnsi"/>
          <w:color w:val="000000" w:themeColor="text1"/>
          <w:szCs w:val="22"/>
          <w:lang w:val="en-GB"/>
        </w:rPr>
        <w:t xml:space="preserve"> why </w:t>
      </w:r>
      <w:r w:rsidR="002773C1" w:rsidRPr="000A05B4">
        <w:rPr>
          <w:rFonts w:asciiTheme="minorHAnsi" w:hAnsiTheme="minorHAnsi"/>
          <w:szCs w:val="22"/>
        </w:rPr>
        <w:t xml:space="preserve">Econet which is suffering financially, making losses and cannot pay dividends </w:t>
      </w:r>
      <w:r w:rsidR="00F8047D">
        <w:rPr>
          <w:rFonts w:asciiTheme="minorHAnsi" w:hAnsiTheme="minorHAnsi"/>
          <w:szCs w:val="22"/>
        </w:rPr>
        <w:t xml:space="preserve">yet </w:t>
      </w:r>
      <w:r w:rsidR="002773C1" w:rsidRPr="000A05B4">
        <w:rPr>
          <w:rFonts w:asciiTheme="minorHAnsi" w:hAnsiTheme="minorHAnsi"/>
          <w:szCs w:val="22"/>
        </w:rPr>
        <w:t xml:space="preserve">pays its Board 2.7 times more than </w:t>
      </w:r>
      <w:proofErr w:type="spellStart"/>
      <w:r w:rsidR="002773C1" w:rsidRPr="000A05B4">
        <w:rPr>
          <w:rFonts w:asciiTheme="minorHAnsi" w:hAnsiTheme="minorHAnsi"/>
          <w:szCs w:val="22"/>
        </w:rPr>
        <w:t>Letseng</w:t>
      </w:r>
      <w:proofErr w:type="spellEnd"/>
      <w:r w:rsidR="002773C1" w:rsidRPr="000A05B4">
        <w:rPr>
          <w:rFonts w:asciiTheme="minorHAnsi" w:hAnsiTheme="minorHAnsi"/>
          <w:szCs w:val="22"/>
        </w:rPr>
        <w:t xml:space="preserve"> Diamonds which until 2017/18 had been providing 80% of all dividends to GoL and </w:t>
      </w:r>
      <w:r w:rsidR="009947B5" w:rsidRPr="000A05B4">
        <w:rPr>
          <w:rFonts w:asciiTheme="minorHAnsi" w:hAnsiTheme="minorHAnsi"/>
          <w:szCs w:val="22"/>
        </w:rPr>
        <w:t xml:space="preserve">was </w:t>
      </w:r>
      <w:r w:rsidR="002773C1" w:rsidRPr="000A05B4">
        <w:rPr>
          <w:rFonts w:asciiTheme="minorHAnsi" w:hAnsiTheme="minorHAnsi"/>
          <w:szCs w:val="22"/>
        </w:rPr>
        <w:t xml:space="preserve">the greatest contributor to tax; </w:t>
      </w:r>
      <w:r w:rsidR="00F8047D">
        <w:rPr>
          <w:rFonts w:asciiTheme="minorHAnsi" w:hAnsiTheme="minorHAnsi"/>
          <w:szCs w:val="22"/>
        </w:rPr>
        <w:t xml:space="preserve">and c) </w:t>
      </w:r>
      <w:r w:rsidR="00784413" w:rsidRPr="000A05B4">
        <w:rPr>
          <w:rFonts w:asciiTheme="minorHAnsi" w:hAnsiTheme="minorHAnsi"/>
          <w:szCs w:val="22"/>
        </w:rPr>
        <w:t xml:space="preserve">should </w:t>
      </w:r>
      <w:r w:rsidR="002773C1" w:rsidRPr="000A05B4">
        <w:rPr>
          <w:rFonts w:asciiTheme="minorHAnsi" w:hAnsiTheme="minorHAnsi"/>
          <w:szCs w:val="22"/>
        </w:rPr>
        <w:t xml:space="preserve">an enterprise that appears to be </w:t>
      </w:r>
      <w:r w:rsidR="00784413" w:rsidRPr="000A05B4">
        <w:rPr>
          <w:rFonts w:asciiTheme="minorHAnsi" w:hAnsiTheme="minorHAnsi"/>
          <w:szCs w:val="22"/>
        </w:rPr>
        <w:t xml:space="preserve">incapable of making profits and repaying its debts be considered suitable as a candidate for renewing its landline </w:t>
      </w:r>
      <w:proofErr w:type="spellStart"/>
      <w:r w:rsidR="00784413" w:rsidRPr="000A05B4">
        <w:rPr>
          <w:rFonts w:asciiTheme="minorHAnsi" w:hAnsiTheme="minorHAnsi"/>
          <w:szCs w:val="22"/>
        </w:rPr>
        <w:t>licence</w:t>
      </w:r>
      <w:proofErr w:type="spellEnd"/>
      <w:r w:rsidR="00784413" w:rsidRPr="000A05B4">
        <w:rPr>
          <w:rFonts w:asciiTheme="minorHAnsi" w:hAnsiTheme="minorHAnsi"/>
          <w:szCs w:val="22"/>
        </w:rPr>
        <w:t xml:space="preserve"> in 2020 and its mobile </w:t>
      </w:r>
      <w:proofErr w:type="spellStart"/>
      <w:r w:rsidR="00784413" w:rsidRPr="000A05B4">
        <w:rPr>
          <w:rFonts w:asciiTheme="minorHAnsi" w:hAnsiTheme="minorHAnsi"/>
          <w:szCs w:val="22"/>
        </w:rPr>
        <w:t>licence</w:t>
      </w:r>
      <w:proofErr w:type="spellEnd"/>
      <w:r w:rsidR="00784413" w:rsidRPr="000A05B4">
        <w:rPr>
          <w:rFonts w:asciiTheme="minorHAnsi" w:hAnsiTheme="minorHAnsi"/>
          <w:szCs w:val="22"/>
        </w:rPr>
        <w:t xml:space="preserve"> in 2021?</w:t>
      </w:r>
    </w:p>
    <w:p w14:paraId="28D7B72D" w14:textId="640760D1" w:rsidR="00F560B9" w:rsidRPr="000068B0" w:rsidRDefault="00F560B9" w:rsidP="000068B0">
      <w:pPr>
        <w:pStyle w:val="ListParagraph"/>
        <w:ind w:left="425" w:hanging="425"/>
        <w:rPr>
          <w:rFonts w:asciiTheme="minorHAnsi" w:hAnsiTheme="minorHAnsi"/>
          <w:color w:val="000000" w:themeColor="text1"/>
          <w:sz w:val="20"/>
          <w:lang w:val="en-GB"/>
        </w:rPr>
      </w:pPr>
      <w:r>
        <w:rPr>
          <w:rFonts w:asciiTheme="minorHAnsi" w:hAnsiTheme="minorHAnsi"/>
          <w:color w:val="000000" w:themeColor="text1"/>
          <w:szCs w:val="22"/>
          <w:lang w:val="en-GB"/>
        </w:rPr>
        <w:t>LNDC’s review of the potential to restructure Loti Brick must be acted upon with alacrity to minimise the continuing financial and reputational risk to GoL and LNDC.</w:t>
      </w:r>
    </w:p>
    <w:p w14:paraId="0A1A2D1D" w14:textId="08A0D6AC" w:rsidR="00F560B9" w:rsidRPr="00D6368B" w:rsidRDefault="00414A98" w:rsidP="000068B0">
      <w:pPr>
        <w:pStyle w:val="ListParagraph"/>
        <w:ind w:left="425" w:hanging="425"/>
        <w:rPr>
          <w:rFonts w:asciiTheme="minorHAnsi" w:hAnsiTheme="minorHAnsi"/>
          <w:color w:val="000000" w:themeColor="text1"/>
          <w:sz w:val="20"/>
          <w:lang w:val="en-GB"/>
        </w:rPr>
      </w:pPr>
      <w:r>
        <w:rPr>
          <w:rFonts w:asciiTheme="minorHAnsi" w:hAnsiTheme="minorHAnsi"/>
          <w:color w:val="000000" w:themeColor="text1"/>
          <w:szCs w:val="22"/>
          <w:lang w:val="en-GB"/>
        </w:rPr>
        <w:t xml:space="preserve">LNDC </w:t>
      </w:r>
      <w:r w:rsidR="001422F2">
        <w:rPr>
          <w:rFonts w:asciiTheme="minorHAnsi" w:hAnsiTheme="minorHAnsi"/>
          <w:color w:val="000000" w:themeColor="text1"/>
          <w:szCs w:val="22"/>
          <w:lang w:val="en-GB"/>
        </w:rPr>
        <w:t xml:space="preserve">requires </w:t>
      </w:r>
      <w:r w:rsidR="002F1186">
        <w:rPr>
          <w:rFonts w:asciiTheme="minorHAnsi" w:hAnsiTheme="minorHAnsi"/>
          <w:color w:val="000000" w:themeColor="text1"/>
          <w:szCs w:val="22"/>
          <w:lang w:val="en-GB"/>
        </w:rPr>
        <w:t xml:space="preserve">to address </w:t>
      </w:r>
      <w:r w:rsidR="001422F2">
        <w:rPr>
          <w:rFonts w:asciiTheme="minorHAnsi" w:hAnsiTheme="minorHAnsi"/>
          <w:color w:val="000000" w:themeColor="text1"/>
          <w:szCs w:val="22"/>
          <w:lang w:val="en-GB"/>
        </w:rPr>
        <w:t xml:space="preserve">the issue of debt arrears. As an SOE it is inappropriate that there is so much reliance on government financial support yet failure to </w:t>
      </w:r>
      <w:r w:rsidR="002F1186">
        <w:rPr>
          <w:rFonts w:asciiTheme="minorHAnsi" w:hAnsiTheme="minorHAnsi"/>
          <w:color w:val="000000" w:themeColor="text1"/>
          <w:szCs w:val="22"/>
          <w:lang w:val="en-GB"/>
        </w:rPr>
        <w:t xml:space="preserve">manage the repayments accordingly. GoL cannot continue to cover these costs in these sever economic times. LNDC should also consider divesting the equity in purely commercial enterprises that it has held for many years so that it can reinvest the proceeds in new opportunities </w:t>
      </w:r>
      <w:r w:rsidR="00D60125">
        <w:rPr>
          <w:rFonts w:asciiTheme="minorHAnsi" w:hAnsiTheme="minorHAnsi"/>
          <w:color w:val="000000" w:themeColor="text1"/>
          <w:szCs w:val="22"/>
          <w:lang w:val="en-GB"/>
        </w:rPr>
        <w:t xml:space="preserve">resulting in job and wealth </w:t>
      </w:r>
      <w:r w:rsidR="00D60125">
        <w:rPr>
          <w:rFonts w:asciiTheme="minorHAnsi" w:hAnsiTheme="minorHAnsi"/>
          <w:color w:val="000000" w:themeColor="text1"/>
          <w:szCs w:val="22"/>
          <w:lang w:val="en-GB"/>
        </w:rPr>
        <w:lastRenderedPageBreak/>
        <w:t>creation. In terms of its own business there is an immediate need to act on the issue of Accounts Receivable Days that currently stands at 333!</w:t>
      </w:r>
    </w:p>
    <w:p w14:paraId="1DABA58E" w14:textId="47182CCB" w:rsidR="00D6368B" w:rsidRPr="00FD0F52" w:rsidRDefault="00D6368B" w:rsidP="00D6368B">
      <w:pPr>
        <w:pStyle w:val="ListParagraph"/>
        <w:ind w:left="425" w:hanging="425"/>
        <w:rPr>
          <w:rFonts w:asciiTheme="minorHAnsi" w:hAnsiTheme="minorHAnsi"/>
        </w:rPr>
      </w:pPr>
      <w:r w:rsidRPr="00D6368B">
        <w:rPr>
          <w:rFonts w:asciiTheme="minorHAnsi" w:hAnsiTheme="minorHAnsi"/>
          <w:lang w:val="en-GB"/>
        </w:rPr>
        <w:t xml:space="preserve">Basotho Fruit and Veg Canners (100% owned by LNDC) is recorded as being ‘Active’ in the business registration database in June 2020 but reported by LNDC in its 2017 financial statements as being ‘non-operational’ though it is not clear what ‘non-operational’ means. Lesotho Food Industries in which LNDC owns 39.7% of the equity is designated as being dormant in the latest LNDC financial statements yet in June 2020 is recorded as being ‘Active’ in the government’s business registration database. LNDC (or any other company) should ensure that if they hold equity in a company that ceases operating, then that company shall be dissolved </w:t>
      </w:r>
      <w:r w:rsidRPr="00D6368B">
        <w:rPr>
          <w:rFonts w:asciiTheme="minorHAnsi" w:hAnsiTheme="minorHAnsi"/>
        </w:rPr>
        <w:t xml:space="preserve">in a timely manner to ensure surpluses are distributed and liabilities and creditors are satisfied quickly and fairly. Any such companies should also have their business registrations cancelled </w:t>
      </w:r>
      <w:r>
        <w:rPr>
          <w:rFonts w:asciiTheme="minorHAnsi" w:hAnsiTheme="minorHAnsi"/>
        </w:rPr>
        <w:t>at the same time</w:t>
      </w:r>
      <w:r w:rsidRPr="00D6368B">
        <w:rPr>
          <w:rFonts w:asciiTheme="minorHAnsi" w:hAnsiTheme="minorHAnsi"/>
        </w:rPr>
        <w:t>.</w:t>
      </w:r>
    </w:p>
    <w:p w14:paraId="3A90BF36" w14:textId="79D0586E" w:rsidR="00FB3079" w:rsidRPr="000068B0" w:rsidRDefault="00FD0F52" w:rsidP="000068B0">
      <w:pPr>
        <w:pStyle w:val="ListParagraph"/>
        <w:ind w:left="425" w:hanging="425"/>
        <w:rPr>
          <w:rFonts w:asciiTheme="minorHAnsi" w:hAnsiTheme="minorHAnsi"/>
          <w:color w:val="000000" w:themeColor="text1"/>
          <w:szCs w:val="22"/>
          <w:lang w:val="en-GB"/>
        </w:rPr>
      </w:pPr>
      <w:r>
        <w:rPr>
          <w:rFonts w:asciiTheme="minorHAnsi" w:hAnsiTheme="minorHAnsi"/>
          <w:color w:val="000000" w:themeColor="text1"/>
          <w:szCs w:val="22"/>
          <w:lang w:val="en-GB"/>
        </w:rPr>
        <w:t>With regard to LFM, f</w:t>
      </w:r>
      <w:r w:rsidR="00FB3079">
        <w:rPr>
          <w:rFonts w:asciiTheme="minorHAnsi" w:hAnsiTheme="minorHAnsi"/>
          <w:color w:val="000000" w:themeColor="text1"/>
          <w:szCs w:val="22"/>
          <w:lang w:val="en-GB"/>
        </w:rPr>
        <w:t xml:space="preserve">rom an external viewpoint </w:t>
      </w:r>
      <w:r w:rsidR="00FB3079" w:rsidRPr="002D1933">
        <w:rPr>
          <w:rFonts w:asciiTheme="minorHAnsi" w:hAnsiTheme="minorHAnsi"/>
          <w:color w:val="000000" w:themeColor="text1"/>
          <w:szCs w:val="22"/>
          <w:lang w:val="en-GB"/>
        </w:rPr>
        <w:t>the relationship between Seaboard and the GoL appears rather one sided</w:t>
      </w:r>
      <w:r w:rsidR="000366FA" w:rsidRPr="0045733E">
        <w:rPr>
          <w:rFonts w:asciiTheme="minorHAnsi" w:hAnsiTheme="minorHAnsi"/>
          <w:color w:val="000000" w:themeColor="text1"/>
          <w:szCs w:val="22"/>
          <w:lang w:val="en-GB"/>
        </w:rPr>
        <w:t xml:space="preserve"> in that Seaboard:</w:t>
      </w:r>
      <w:r w:rsidR="00FB3079" w:rsidRPr="0045733E">
        <w:rPr>
          <w:rFonts w:asciiTheme="minorHAnsi" w:hAnsiTheme="minorHAnsi"/>
          <w:color w:val="000000" w:themeColor="text1"/>
          <w:szCs w:val="22"/>
          <w:lang w:val="en-GB"/>
        </w:rPr>
        <w:t xml:space="preserve"> receive a </w:t>
      </w:r>
      <w:r w:rsidR="00133556" w:rsidRPr="0045733E">
        <w:rPr>
          <w:rFonts w:asciiTheme="minorHAnsi" w:hAnsiTheme="minorHAnsi"/>
          <w:color w:val="000000" w:themeColor="text1"/>
          <w:szCs w:val="22"/>
          <w:lang w:val="en-GB"/>
        </w:rPr>
        <w:t xml:space="preserve">substantial </w:t>
      </w:r>
      <w:r w:rsidR="00FB3079" w:rsidRPr="0045733E">
        <w:rPr>
          <w:rFonts w:asciiTheme="minorHAnsi" w:hAnsiTheme="minorHAnsi"/>
          <w:color w:val="000000" w:themeColor="text1"/>
          <w:szCs w:val="22"/>
          <w:lang w:val="en-GB"/>
        </w:rPr>
        <w:t>Management Fee</w:t>
      </w:r>
      <w:r w:rsidR="00133556" w:rsidRPr="0045733E">
        <w:rPr>
          <w:rFonts w:asciiTheme="minorHAnsi" w:hAnsiTheme="minorHAnsi"/>
          <w:color w:val="000000" w:themeColor="text1"/>
          <w:szCs w:val="22"/>
          <w:lang w:val="en-GB"/>
        </w:rPr>
        <w:t xml:space="preserve"> that is not in any way performance related and which Seaboard receives irrespective of whether LFM makes a profit or not; </w:t>
      </w:r>
      <w:r w:rsidR="00FB3079" w:rsidRPr="007F7CC1">
        <w:rPr>
          <w:rFonts w:asciiTheme="minorHAnsi" w:hAnsiTheme="minorHAnsi"/>
          <w:color w:val="000000" w:themeColor="text1"/>
          <w:szCs w:val="22"/>
          <w:lang w:val="en-GB"/>
        </w:rPr>
        <w:t>appoint senior management at significant cost</w:t>
      </w:r>
      <w:r w:rsidR="000366FA" w:rsidRPr="007F7CC1">
        <w:rPr>
          <w:rFonts w:asciiTheme="minorHAnsi" w:hAnsiTheme="minorHAnsi"/>
          <w:color w:val="000000" w:themeColor="text1"/>
          <w:szCs w:val="22"/>
          <w:lang w:val="en-GB"/>
        </w:rPr>
        <w:t xml:space="preserve"> to LFM</w:t>
      </w:r>
      <w:r w:rsidR="00FB3079" w:rsidRPr="007F7CC1">
        <w:rPr>
          <w:rFonts w:asciiTheme="minorHAnsi" w:hAnsiTheme="minorHAnsi"/>
          <w:color w:val="000000" w:themeColor="text1"/>
          <w:szCs w:val="22"/>
          <w:lang w:val="en-GB"/>
        </w:rPr>
        <w:t xml:space="preserve"> (almost as high as the Management Fee)</w:t>
      </w:r>
      <w:r w:rsidR="000366FA" w:rsidRPr="00762B13">
        <w:rPr>
          <w:rFonts w:asciiTheme="minorHAnsi" w:hAnsiTheme="minorHAnsi"/>
          <w:color w:val="000000" w:themeColor="text1"/>
          <w:szCs w:val="22"/>
          <w:lang w:val="en-GB"/>
        </w:rPr>
        <w:t xml:space="preserve">; </w:t>
      </w:r>
      <w:r w:rsidR="00FB3079" w:rsidRPr="004503F3">
        <w:rPr>
          <w:rFonts w:asciiTheme="minorHAnsi" w:hAnsiTheme="minorHAnsi"/>
          <w:color w:val="000000" w:themeColor="text1"/>
          <w:szCs w:val="22"/>
          <w:lang w:val="en-GB"/>
        </w:rPr>
        <w:t>get paid $500 per day for the use of Seaboard’s own experts who visit LFM at the request of the senior management (who are appointed by Seaboard)</w:t>
      </w:r>
      <w:r w:rsidR="000366FA" w:rsidRPr="004503F3">
        <w:rPr>
          <w:rFonts w:asciiTheme="minorHAnsi" w:hAnsiTheme="minorHAnsi"/>
          <w:color w:val="000000" w:themeColor="text1"/>
          <w:szCs w:val="22"/>
          <w:lang w:val="en-GB"/>
        </w:rPr>
        <w:t xml:space="preserve">; </w:t>
      </w:r>
      <w:r w:rsidR="00FB3079" w:rsidRPr="004503F3">
        <w:rPr>
          <w:rFonts w:asciiTheme="minorHAnsi" w:hAnsiTheme="minorHAnsi"/>
          <w:color w:val="000000" w:themeColor="text1"/>
          <w:szCs w:val="22"/>
          <w:lang w:val="en-GB"/>
        </w:rPr>
        <w:t>receive a premium of 4% of actual cost when supplying raw materials to LFM.</w:t>
      </w:r>
      <w:r w:rsidR="000366FA" w:rsidRPr="004503F3">
        <w:rPr>
          <w:rFonts w:asciiTheme="minorHAnsi" w:hAnsiTheme="minorHAnsi"/>
          <w:color w:val="000000" w:themeColor="text1"/>
          <w:szCs w:val="22"/>
          <w:lang w:val="en-GB"/>
        </w:rPr>
        <w:t xml:space="preserve"> This relationship needs to be renegotiated. Additionally a risk assessment should be undertaken as</w:t>
      </w:r>
      <w:r w:rsidR="000366FA">
        <w:rPr>
          <w:rFonts w:asciiTheme="minorHAnsi" w:hAnsiTheme="minorHAnsi"/>
          <w:color w:val="000000" w:themeColor="text1"/>
          <w:szCs w:val="22"/>
          <w:lang w:val="en-GB"/>
        </w:rPr>
        <w:t xml:space="preserve"> to the </w:t>
      </w:r>
      <w:r w:rsidR="008E3884">
        <w:rPr>
          <w:rFonts w:asciiTheme="minorHAnsi" w:hAnsiTheme="minorHAnsi"/>
          <w:color w:val="000000" w:themeColor="text1"/>
          <w:szCs w:val="22"/>
          <w:lang w:val="en-GB"/>
        </w:rPr>
        <w:t>level of ‘dependency’ on one supplier (</w:t>
      </w:r>
      <w:proofErr w:type="spellStart"/>
      <w:r w:rsidR="008E3884">
        <w:rPr>
          <w:rFonts w:asciiTheme="minorHAnsi" w:hAnsiTheme="minorHAnsi"/>
          <w:color w:val="000000" w:themeColor="text1"/>
          <w:szCs w:val="22"/>
          <w:lang w:val="en-GB"/>
        </w:rPr>
        <w:t>Seabaord</w:t>
      </w:r>
      <w:proofErr w:type="spellEnd"/>
      <w:r w:rsidR="008E3884">
        <w:rPr>
          <w:rFonts w:asciiTheme="minorHAnsi" w:hAnsiTheme="minorHAnsi"/>
          <w:color w:val="000000" w:themeColor="text1"/>
          <w:szCs w:val="22"/>
          <w:lang w:val="en-GB"/>
        </w:rPr>
        <w:t>) and one trade buyer (</w:t>
      </w:r>
      <w:proofErr w:type="spellStart"/>
      <w:r w:rsidR="008E3884">
        <w:rPr>
          <w:rFonts w:asciiTheme="minorHAnsi" w:hAnsiTheme="minorHAnsi"/>
          <w:color w:val="000000" w:themeColor="text1"/>
          <w:szCs w:val="22"/>
          <w:lang w:val="en-GB"/>
        </w:rPr>
        <w:t>Glowbakeries</w:t>
      </w:r>
      <w:proofErr w:type="spellEnd"/>
      <w:r w:rsidR="008E3884">
        <w:rPr>
          <w:rFonts w:asciiTheme="minorHAnsi" w:hAnsiTheme="minorHAnsi"/>
          <w:color w:val="000000" w:themeColor="text1"/>
          <w:szCs w:val="22"/>
          <w:lang w:val="en-GB"/>
        </w:rPr>
        <w:t>) especially as they are both shareholders.</w:t>
      </w:r>
    </w:p>
    <w:p w14:paraId="1D5843F3" w14:textId="4451370A" w:rsidR="00D60125" w:rsidRDefault="00FB3079" w:rsidP="000068B0">
      <w:pPr>
        <w:pStyle w:val="ListParagraph"/>
        <w:ind w:left="425" w:hanging="425"/>
        <w:rPr>
          <w:rFonts w:asciiTheme="minorHAnsi" w:hAnsiTheme="minorHAnsi"/>
          <w:color w:val="000000" w:themeColor="text1"/>
          <w:szCs w:val="22"/>
          <w:lang w:val="en-GB"/>
        </w:rPr>
      </w:pPr>
      <w:r>
        <w:rPr>
          <w:rFonts w:asciiTheme="minorHAnsi" w:hAnsiTheme="minorHAnsi"/>
          <w:color w:val="000000" w:themeColor="text1"/>
          <w:szCs w:val="22"/>
          <w:lang w:val="en-GB"/>
        </w:rPr>
        <w:t xml:space="preserve"> </w:t>
      </w:r>
      <w:r w:rsidR="009C56CC">
        <w:rPr>
          <w:rFonts w:asciiTheme="minorHAnsi" w:hAnsiTheme="minorHAnsi"/>
          <w:color w:val="000000" w:themeColor="text1"/>
          <w:szCs w:val="22"/>
          <w:lang w:val="en-GB"/>
        </w:rPr>
        <w:t xml:space="preserve">A review of the management contracts / shareholders agreements is required in general and would include MHG </w:t>
      </w:r>
      <w:proofErr w:type="spellStart"/>
      <w:r w:rsidR="009C56CC">
        <w:rPr>
          <w:rFonts w:asciiTheme="minorHAnsi" w:hAnsiTheme="minorHAnsi"/>
          <w:color w:val="000000" w:themeColor="text1"/>
          <w:szCs w:val="22"/>
          <w:lang w:val="en-GB"/>
        </w:rPr>
        <w:t>Avani</w:t>
      </w:r>
      <w:proofErr w:type="spellEnd"/>
      <w:r w:rsidR="009C56CC">
        <w:rPr>
          <w:rFonts w:asciiTheme="minorHAnsi" w:hAnsiTheme="minorHAnsi"/>
          <w:color w:val="000000" w:themeColor="text1"/>
          <w:szCs w:val="22"/>
          <w:lang w:val="en-GB"/>
        </w:rPr>
        <w:t xml:space="preserve">; MMB; LFM; Econet; and </w:t>
      </w:r>
      <w:proofErr w:type="spellStart"/>
      <w:r w:rsidR="009C56CC">
        <w:rPr>
          <w:rFonts w:asciiTheme="minorHAnsi" w:hAnsiTheme="minorHAnsi"/>
          <w:color w:val="000000" w:themeColor="text1"/>
          <w:szCs w:val="22"/>
          <w:lang w:val="en-GB"/>
        </w:rPr>
        <w:t>Letseng</w:t>
      </w:r>
      <w:proofErr w:type="spellEnd"/>
      <w:r w:rsidR="005A791C">
        <w:rPr>
          <w:rFonts w:asciiTheme="minorHAnsi" w:hAnsiTheme="minorHAnsi"/>
          <w:color w:val="000000" w:themeColor="text1"/>
          <w:szCs w:val="22"/>
          <w:lang w:val="en-GB"/>
        </w:rPr>
        <w:t>.</w:t>
      </w:r>
    </w:p>
    <w:p w14:paraId="7414280C" w14:textId="79DEDC8C" w:rsidR="005A791C" w:rsidRPr="000068B0" w:rsidRDefault="005A791C" w:rsidP="000068B0">
      <w:pPr>
        <w:pStyle w:val="ListParagraph"/>
        <w:ind w:left="425" w:hanging="425"/>
        <w:rPr>
          <w:rFonts w:asciiTheme="minorHAnsi" w:hAnsiTheme="minorHAnsi"/>
          <w:color w:val="000000" w:themeColor="text1"/>
          <w:szCs w:val="22"/>
          <w:lang w:val="en-GB"/>
        </w:rPr>
      </w:pPr>
      <w:r w:rsidRPr="000068B0">
        <w:rPr>
          <w:rFonts w:asciiTheme="minorHAnsi" w:hAnsiTheme="minorHAnsi"/>
          <w:szCs w:val="22"/>
        </w:rPr>
        <w:t>LHLDC has not presented audited financial statements for more than 5 years, yet Board remuneration is the second highest of all SOEs</w:t>
      </w:r>
      <w:r>
        <w:rPr>
          <w:rFonts w:asciiTheme="minorHAnsi" w:hAnsiTheme="minorHAnsi"/>
          <w:szCs w:val="22"/>
        </w:rPr>
        <w:t>. The Board must be held to account and AFS must be updated.</w:t>
      </w:r>
    </w:p>
    <w:p w14:paraId="75BFD05B" w14:textId="281EA025" w:rsidR="005A791C" w:rsidRPr="00B845A7" w:rsidRDefault="005A791C" w:rsidP="000068B0">
      <w:pPr>
        <w:pStyle w:val="ListParagraph"/>
        <w:ind w:left="425" w:hanging="425"/>
        <w:rPr>
          <w:rFonts w:asciiTheme="minorHAnsi" w:hAnsiTheme="minorHAnsi"/>
          <w:color w:val="000000" w:themeColor="text1"/>
          <w:szCs w:val="22"/>
          <w:lang w:val="en-GB"/>
        </w:rPr>
      </w:pPr>
      <w:r>
        <w:rPr>
          <w:rFonts w:asciiTheme="minorHAnsi" w:hAnsiTheme="minorHAnsi"/>
          <w:szCs w:val="22"/>
        </w:rPr>
        <w:t xml:space="preserve">Whilst there is potentially a role for BEDCO, serious consideration has to be given as to the way it is funded if the company continues to </w:t>
      </w:r>
      <w:r w:rsidR="00D45060">
        <w:rPr>
          <w:rFonts w:asciiTheme="minorHAnsi" w:hAnsiTheme="minorHAnsi"/>
          <w:szCs w:val="22"/>
        </w:rPr>
        <w:t xml:space="preserve">fail to submit its AFS. The previous CEO left after a </w:t>
      </w:r>
      <w:proofErr w:type="gramStart"/>
      <w:r w:rsidR="00D45060">
        <w:rPr>
          <w:rFonts w:asciiTheme="minorHAnsi" w:hAnsiTheme="minorHAnsi"/>
          <w:szCs w:val="22"/>
        </w:rPr>
        <w:t>3 year</w:t>
      </w:r>
      <w:proofErr w:type="gramEnd"/>
      <w:r w:rsidR="00D45060">
        <w:rPr>
          <w:rFonts w:asciiTheme="minorHAnsi" w:hAnsiTheme="minorHAnsi"/>
          <w:szCs w:val="22"/>
        </w:rPr>
        <w:t xml:space="preserve"> term without submitting a single set of AFS. It must be a condition of any new appointment that the resolution of this problem is a priority. It is inconceivable that BEDCO should continue to be funded in the same way when there are no checks and balances as to how the funding is used.</w:t>
      </w:r>
    </w:p>
    <w:p w14:paraId="5748CD2C" w14:textId="7C550435" w:rsidR="00947BC4" w:rsidRPr="00D25BE7" w:rsidRDefault="00947BC4" w:rsidP="00A467C2">
      <w:pPr>
        <w:pStyle w:val="ListParagraph"/>
        <w:ind w:left="426" w:hanging="426"/>
        <w:rPr>
          <w:rFonts w:asciiTheme="minorHAnsi" w:hAnsiTheme="minorHAnsi"/>
          <w:color w:val="000000" w:themeColor="text1"/>
          <w:szCs w:val="22"/>
          <w:lang w:val="en-GB"/>
        </w:rPr>
      </w:pPr>
      <w:r w:rsidRPr="00D25BE7">
        <w:rPr>
          <w:rFonts w:asciiTheme="minorHAnsi" w:hAnsiTheme="minorHAnsi"/>
          <w:color w:val="000000" w:themeColor="text1"/>
          <w:szCs w:val="22"/>
          <w:lang w:val="en-GB"/>
        </w:rPr>
        <w:t xml:space="preserve">PSD </w:t>
      </w:r>
      <w:r w:rsidR="005D7528" w:rsidRPr="00D25BE7">
        <w:rPr>
          <w:rFonts w:asciiTheme="minorHAnsi" w:hAnsiTheme="minorHAnsi"/>
          <w:color w:val="000000" w:themeColor="text1"/>
          <w:szCs w:val="22"/>
          <w:lang w:val="en-GB"/>
        </w:rPr>
        <w:t>aims to improve access to</w:t>
      </w:r>
      <w:r w:rsidRPr="00D25BE7">
        <w:rPr>
          <w:rFonts w:asciiTheme="minorHAnsi" w:hAnsiTheme="minorHAnsi"/>
          <w:color w:val="000000" w:themeColor="text1"/>
          <w:szCs w:val="22"/>
          <w:lang w:val="en-GB"/>
        </w:rPr>
        <w:t xml:space="preserve"> relevant information</w:t>
      </w:r>
      <w:r w:rsidR="00342D43" w:rsidRPr="00D25BE7">
        <w:rPr>
          <w:rFonts w:asciiTheme="minorHAnsi" w:hAnsiTheme="minorHAnsi"/>
          <w:color w:val="000000" w:themeColor="text1"/>
          <w:szCs w:val="22"/>
          <w:lang w:val="en-GB"/>
        </w:rPr>
        <w:t>,</w:t>
      </w:r>
      <w:r w:rsidRPr="00D25BE7">
        <w:rPr>
          <w:rFonts w:asciiTheme="minorHAnsi" w:hAnsiTheme="minorHAnsi"/>
          <w:color w:val="000000" w:themeColor="text1"/>
          <w:szCs w:val="22"/>
          <w:lang w:val="en-GB"/>
        </w:rPr>
        <w:t xml:space="preserve"> and</w:t>
      </w:r>
      <w:r w:rsidR="006C15D2" w:rsidRPr="00D25BE7">
        <w:rPr>
          <w:rFonts w:asciiTheme="minorHAnsi" w:hAnsiTheme="minorHAnsi"/>
          <w:color w:val="000000" w:themeColor="text1"/>
          <w:szCs w:val="22"/>
          <w:lang w:val="en-GB"/>
        </w:rPr>
        <w:t xml:space="preserve"> towards that end,</w:t>
      </w:r>
      <w:r w:rsidRPr="00D25BE7">
        <w:rPr>
          <w:rFonts w:asciiTheme="minorHAnsi" w:hAnsiTheme="minorHAnsi"/>
          <w:color w:val="000000" w:themeColor="text1"/>
          <w:szCs w:val="22"/>
          <w:lang w:val="en-GB"/>
        </w:rPr>
        <w:t xml:space="preserve"> </w:t>
      </w:r>
      <w:r w:rsidR="006C15D2" w:rsidRPr="00D25BE7">
        <w:rPr>
          <w:rFonts w:asciiTheme="minorHAnsi" w:hAnsiTheme="minorHAnsi"/>
          <w:color w:val="000000" w:themeColor="text1"/>
          <w:szCs w:val="22"/>
          <w:lang w:val="en-GB"/>
        </w:rPr>
        <w:t>i</w:t>
      </w:r>
      <w:r w:rsidRPr="00D25BE7">
        <w:rPr>
          <w:rFonts w:asciiTheme="minorHAnsi" w:hAnsiTheme="minorHAnsi"/>
          <w:color w:val="000000" w:themeColor="text1"/>
          <w:szCs w:val="22"/>
          <w:lang w:val="en-GB"/>
        </w:rPr>
        <w:t xml:space="preserve">s </w:t>
      </w:r>
      <w:r w:rsidR="006C15D2" w:rsidRPr="00D25BE7">
        <w:rPr>
          <w:rFonts w:asciiTheme="minorHAnsi" w:hAnsiTheme="minorHAnsi"/>
          <w:color w:val="000000" w:themeColor="text1"/>
          <w:szCs w:val="22"/>
          <w:lang w:val="en-GB"/>
        </w:rPr>
        <w:t xml:space="preserve">working on improving </w:t>
      </w:r>
      <w:r w:rsidRPr="00D25BE7">
        <w:rPr>
          <w:rFonts w:asciiTheme="minorHAnsi" w:hAnsiTheme="minorHAnsi"/>
          <w:color w:val="000000" w:themeColor="text1"/>
          <w:szCs w:val="22"/>
          <w:lang w:val="en-GB"/>
        </w:rPr>
        <w:t xml:space="preserve">relationships with all SOE sector stakeholders, including, but not limited to; the SOEs, line ministries, other </w:t>
      </w:r>
      <w:proofErr w:type="spellStart"/>
      <w:r w:rsidRPr="00D25BE7">
        <w:rPr>
          <w:rFonts w:asciiTheme="minorHAnsi" w:hAnsiTheme="minorHAnsi"/>
          <w:color w:val="000000" w:themeColor="text1"/>
          <w:szCs w:val="22"/>
          <w:lang w:val="en-GB"/>
        </w:rPr>
        <w:t>MoF</w:t>
      </w:r>
      <w:proofErr w:type="spellEnd"/>
      <w:r w:rsidRPr="00D25BE7">
        <w:rPr>
          <w:rFonts w:asciiTheme="minorHAnsi" w:hAnsiTheme="minorHAnsi"/>
          <w:color w:val="000000" w:themeColor="text1"/>
          <w:szCs w:val="22"/>
          <w:lang w:val="en-GB"/>
        </w:rPr>
        <w:t xml:space="preserve"> departments, Office of the Auditor General. Effective monitoring of SOEs demands that consistent and relevant information is available.</w:t>
      </w:r>
    </w:p>
    <w:p w14:paraId="781E1C7C" w14:textId="641CED44" w:rsidR="00A467C2" w:rsidRDefault="00A467C2" w:rsidP="00A467C2">
      <w:pPr>
        <w:pStyle w:val="ListParagraph"/>
        <w:ind w:left="426" w:hanging="426"/>
        <w:rPr>
          <w:rFonts w:asciiTheme="minorHAnsi" w:hAnsiTheme="minorHAnsi"/>
          <w:color w:val="000000" w:themeColor="text1"/>
          <w:szCs w:val="22"/>
          <w:lang w:val="en-GB"/>
        </w:rPr>
      </w:pPr>
      <w:r w:rsidRPr="00D25BE7">
        <w:rPr>
          <w:rFonts w:asciiTheme="minorHAnsi" w:hAnsiTheme="minorHAnsi"/>
          <w:color w:val="000000" w:themeColor="text1"/>
          <w:szCs w:val="22"/>
          <w:lang w:val="en-GB"/>
        </w:rPr>
        <w:lastRenderedPageBreak/>
        <w:t>SOEs without public or social service obligations provide better overall results and indicators of profitability. This highlights the need for identification of social services and SOE activities at other than commercial behaviour, and the need for transparent funding of the same.</w:t>
      </w:r>
    </w:p>
    <w:p w14:paraId="430BDE8A" w14:textId="6352F05A" w:rsidR="009074BF" w:rsidRPr="000068B0" w:rsidRDefault="009074BF" w:rsidP="00B845A7">
      <w:pPr>
        <w:pStyle w:val="ListParagraph"/>
        <w:ind w:left="426" w:hanging="426"/>
        <w:rPr>
          <w:rFonts w:asciiTheme="minorHAnsi" w:hAnsiTheme="minorHAnsi"/>
          <w:color w:val="000000" w:themeColor="text1"/>
          <w:szCs w:val="22"/>
          <w:lang w:val="en-GB"/>
        </w:rPr>
      </w:pPr>
      <w:r w:rsidRPr="00D25BE7">
        <w:rPr>
          <w:rFonts w:asciiTheme="minorHAnsi" w:hAnsiTheme="minorHAnsi"/>
          <w:color w:val="000000" w:themeColor="text1"/>
          <w:szCs w:val="22"/>
          <w:lang w:val="en-GB"/>
        </w:rPr>
        <w:t xml:space="preserve">PSD aims to improve access to relevant information, and towards that end, </w:t>
      </w:r>
      <w:r>
        <w:rPr>
          <w:rFonts w:asciiTheme="minorHAnsi" w:hAnsiTheme="minorHAnsi"/>
          <w:color w:val="000000" w:themeColor="text1"/>
          <w:szCs w:val="22"/>
          <w:lang w:val="en-GB"/>
        </w:rPr>
        <w:t>will</w:t>
      </w:r>
      <w:r w:rsidRPr="00D25BE7">
        <w:rPr>
          <w:rFonts w:asciiTheme="minorHAnsi" w:hAnsiTheme="minorHAnsi"/>
          <w:color w:val="000000" w:themeColor="text1"/>
          <w:szCs w:val="22"/>
          <w:lang w:val="en-GB"/>
        </w:rPr>
        <w:t xml:space="preserve"> working on improving relationships with all SOE sector stakeholders, including, but not limited to; the SOEs, line ministries, other </w:t>
      </w:r>
      <w:proofErr w:type="spellStart"/>
      <w:r w:rsidRPr="00D25BE7">
        <w:rPr>
          <w:rFonts w:asciiTheme="minorHAnsi" w:hAnsiTheme="minorHAnsi"/>
          <w:color w:val="000000" w:themeColor="text1"/>
          <w:szCs w:val="22"/>
          <w:lang w:val="en-GB"/>
        </w:rPr>
        <w:t>MoF</w:t>
      </w:r>
      <w:proofErr w:type="spellEnd"/>
      <w:r w:rsidRPr="00D25BE7">
        <w:rPr>
          <w:rFonts w:asciiTheme="minorHAnsi" w:hAnsiTheme="minorHAnsi"/>
          <w:color w:val="000000" w:themeColor="text1"/>
          <w:szCs w:val="22"/>
          <w:lang w:val="en-GB"/>
        </w:rPr>
        <w:t xml:space="preserve"> departments, Office of the Auditor General. Effective monitoring of SOEs demands that consistent and relevant information is available.</w:t>
      </w:r>
    </w:p>
    <w:p w14:paraId="17085DE5" w14:textId="00524BDE" w:rsidR="002D74F6" w:rsidRPr="00D25BE7" w:rsidRDefault="002D74F6" w:rsidP="00C93EA6">
      <w:pPr>
        <w:pStyle w:val="ListParagraph"/>
        <w:ind w:left="426" w:hanging="426"/>
        <w:rPr>
          <w:rFonts w:asciiTheme="minorHAnsi" w:hAnsiTheme="minorHAnsi"/>
          <w:color w:val="000000" w:themeColor="text1"/>
          <w:szCs w:val="22"/>
          <w:lang w:val="en-GB"/>
        </w:rPr>
      </w:pPr>
      <w:r w:rsidRPr="00D25BE7">
        <w:rPr>
          <w:rFonts w:asciiTheme="minorHAnsi" w:hAnsiTheme="minorHAnsi"/>
          <w:color w:val="000000" w:themeColor="text1"/>
          <w:szCs w:val="22"/>
          <w:lang w:val="en-GB"/>
        </w:rPr>
        <w:t xml:space="preserve">PSD </w:t>
      </w:r>
      <w:r w:rsidR="009074BF">
        <w:rPr>
          <w:rFonts w:asciiTheme="minorHAnsi" w:hAnsiTheme="minorHAnsi"/>
          <w:color w:val="000000" w:themeColor="text1"/>
          <w:szCs w:val="22"/>
          <w:lang w:val="en-GB"/>
        </w:rPr>
        <w:t xml:space="preserve">must and will </w:t>
      </w:r>
      <w:r w:rsidR="00B44CBE" w:rsidRPr="00D25BE7">
        <w:rPr>
          <w:rFonts w:asciiTheme="minorHAnsi" w:hAnsiTheme="minorHAnsi"/>
          <w:color w:val="000000" w:themeColor="text1"/>
          <w:szCs w:val="22"/>
          <w:lang w:val="en-GB"/>
        </w:rPr>
        <w:t>endeavour to</w:t>
      </w:r>
      <w:r w:rsidRPr="00D25BE7">
        <w:rPr>
          <w:rFonts w:asciiTheme="minorHAnsi" w:hAnsiTheme="minorHAnsi"/>
          <w:color w:val="000000" w:themeColor="text1"/>
          <w:szCs w:val="22"/>
          <w:lang w:val="en-GB"/>
        </w:rPr>
        <w:t xml:space="preserve"> improve its capacity to reconcile cash-based items </w:t>
      </w:r>
      <w:r w:rsidR="00B44CBE" w:rsidRPr="00D25BE7">
        <w:rPr>
          <w:rFonts w:asciiTheme="minorHAnsi" w:hAnsiTheme="minorHAnsi"/>
          <w:color w:val="000000" w:themeColor="text1"/>
          <w:szCs w:val="22"/>
          <w:lang w:val="en-GB"/>
        </w:rPr>
        <w:t xml:space="preserve">(dividends, debt payments) </w:t>
      </w:r>
      <w:r w:rsidRPr="00D25BE7">
        <w:rPr>
          <w:rFonts w:asciiTheme="minorHAnsi" w:hAnsiTheme="minorHAnsi"/>
          <w:color w:val="000000" w:themeColor="text1"/>
          <w:szCs w:val="22"/>
          <w:lang w:val="en-GB"/>
        </w:rPr>
        <w:t xml:space="preserve">to the declared dividends and debt obligations as reported in the SOE AFS. </w:t>
      </w:r>
      <w:r w:rsidR="00B44CBE" w:rsidRPr="00D25BE7">
        <w:rPr>
          <w:rFonts w:asciiTheme="minorHAnsi" w:hAnsiTheme="minorHAnsi"/>
          <w:color w:val="000000" w:themeColor="text1"/>
          <w:szCs w:val="22"/>
          <w:lang w:val="en-GB"/>
        </w:rPr>
        <w:t xml:space="preserve"> </w:t>
      </w:r>
    </w:p>
    <w:p w14:paraId="6F8C6FF7" w14:textId="6BB54DEC" w:rsidR="005C5D88" w:rsidRPr="00D25BE7" w:rsidRDefault="00351DA2" w:rsidP="00AA5C37">
      <w:pPr>
        <w:pStyle w:val="ListParagraph"/>
        <w:ind w:left="426" w:hanging="426"/>
        <w:rPr>
          <w:rFonts w:asciiTheme="minorHAnsi" w:hAnsiTheme="minorHAnsi"/>
          <w:color w:val="000000" w:themeColor="text1"/>
          <w:szCs w:val="22"/>
          <w:lang w:val="en-GB"/>
        </w:rPr>
      </w:pPr>
      <w:r w:rsidRPr="000068B0">
        <w:rPr>
          <w:rFonts w:asciiTheme="minorHAnsi" w:hAnsiTheme="minorHAnsi"/>
          <w:color w:val="000000" w:themeColor="text1"/>
          <w:szCs w:val="22"/>
          <w:lang w:val="en-GB"/>
        </w:rPr>
        <w:t>PSD, on behalf of Government, should develop an SOE Ownership Policy to highlight relevant strategic, security and other reasons why the Government should invest in businesses.</w:t>
      </w:r>
      <w:r w:rsidRPr="00D25BE7">
        <w:rPr>
          <w:rFonts w:asciiTheme="minorHAnsi" w:hAnsiTheme="minorHAnsi"/>
          <w:color w:val="000000" w:themeColor="text1"/>
          <w:szCs w:val="22"/>
          <w:lang w:val="en-GB"/>
        </w:rPr>
        <w:t xml:space="preserve"> </w:t>
      </w:r>
      <w:r w:rsidR="00C24710" w:rsidRPr="00D25BE7">
        <w:rPr>
          <w:rFonts w:asciiTheme="minorHAnsi" w:hAnsiTheme="minorHAnsi"/>
          <w:color w:val="000000" w:themeColor="text1"/>
          <w:szCs w:val="22"/>
          <w:lang w:val="en-GB"/>
        </w:rPr>
        <w:t>Once a broad policy has been agreed, then it is logical to work towards improving the SOE portfolio of investments to align to that policy. Such alignment may take many years in both divestment of non-relevant SOEs and in creating SOEs from other Government operations or departments that meet the ownership and commercial ‘mandate’ criteria.</w:t>
      </w:r>
      <w:r w:rsidR="002F1F08" w:rsidRPr="00D25BE7">
        <w:rPr>
          <w:rFonts w:asciiTheme="minorHAnsi" w:hAnsiTheme="minorHAnsi"/>
          <w:color w:val="000000" w:themeColor="text1"/>
          <w:szCs w:val="22"/>
          <w:lang w:val="en-GB"/>
        </w:rPr>
        <w:t xml:space="preserve"> Where there is significant value in some </w:t>
      </w:r>
      <w:r w:rsidR="00345425" w:rsidRPr="00D25BE7">
        <w:rPr>
          <w:rFonts w:asciiTheme="minorHAnsi" w:hAnsiTheme="minorHAnsi"/>
          <w:color w:val="000000" w:themeColor="text1"/>
          <w:szCs w:val="22"/>
          <w:lang w:val="en-GB"/>
        </w:rPr>
        <w:t>Government-owned entities</w:t>
      </w:r>
      <w:r w:rsidR="002F1F08" w:rsidRPr="00D25BE7">
        <w:rPr>
          <w:rFonts w:asciiTheme="minorHAnsi" w:hAnsiTheme="minorHAnsi"/>
          <w:color w:val="000000" w:themeColor="text1"/>
          <w:szCs w:val="22"/>
          <w:lang w:val="en-GB"/>
        </w:rPr>
        <w:t xml:space="preserve"> that do not fall in line with SOE ownership policy, significant effort and resources should be allocated to ensure any exit of the investment meets all appropriate Government requirements, including, but not limited to, </w:t>
      </w:r>
      <w:r w:rsidR="00345425" w:rsidRPr="00D25BE7">
        <w:rPr>
          <w:rFonts w:asciiTheme="minorHAnsi" w:hAnsiTheme="minorHAnsi"/>
          <w:color w:val="000000" w:themeColor="text1"/>
          <w:szCs w:val="22"/>
          <w:lang w:val="en-GB"/>
        </w:rPr>
        <w:t xml:space="preserve">value and sale </w:t>
      </w:r>
      <w:r w:rsidR="002F1F08" w:rsidRPr="00D25BE7">
        <w:rPr>
          <w:rFonts w:asciiTheme="minorHAnsi" w:hAnsiTheme="minorHAnsi"/>
          <w:color w:val="000000" w:themeColor="text1"/>
          <w:szCs w:val="22"/>
          <w:lang w:val="en-GB"/>
        </w:rPr>
        <w:t>price.</w:t>
      </w:r>
      <w:r w:rsidR="00AA5C37" w:rsidRPr="00D25BE7">
        <w:rPr>
          <w:rFonts w:asciiTheme="minorHAnsi" w:hAnsiTheme="minorHAnsi"/>
          <w:color w:val="000000" w:themeColor="text1"/>
          <w:szCs w:val="22"/>
          <w:lang w:val="en-GB"/>
        </w:rPr>
        <w:t xml:space="preserve"> </w:t>
      </w:r>
      <w:r w:rsidR="006F5C54" w:rsidRPr="00D25BE7">
        <w:rPr>
          <w:rFonts w:asciiTheme="minorHAnsi" w:hAnsiTheme="minorHAnsi" w:cs="Arial"/>
          <w:szCs w:val="22"/>
        </w:rPr>
        <w:t>As the World Bank Report notes “Reduction of the management burden of ownership of a large number of minority interests would free up administrative resources and allow a focus on core government functions</w:t>
      </w:r>
      <w:r w:rsidR="005C5D88" w:rsidRPr="00D25BE7">
        <w:rPr>
          <w:rFonts w:asciiTheme="minorHAnsi" w:hAnsiTheme="minorHAnsi" w:cs="Arial"/>
          <w:szCs w:val="22"/>
        </w:rPr>
        <w:t>”</w:t>
      </w:r>
      <w:r w:rsidR="006F5C54" w:rsidRPr="00D25BE7">
        <w:rPr>
          <w:rFonts w:asciiTheme="minorHAnsi" w:hAnsiTheme="minorHAnsi" w:cs="Arial"/>
          <w:szCs w:val="22"/>
        </w:rPr>
        <w:t>.</w:t>
      </w:r>
    </w:p>
    <w:p w14:paraId="77F20AB5" w14:textId="77777777" w:rsidR="00D70654" w:rsidRPr="007A3A7D" w:rsidRDefault="009D096E" w:rsidP="004503F3">
      <w:pPr>
        <w:pStyle w:val="ListParagraph"/>
        <w:ind w:left="425" w:hanging="425"/>
        <w:rPr>
          <w:rFonts w:asciiTheme="minorHAnsi" w:hAnsiTheme="minorHAnsi"/>
          <w:color w:val="000000" w:themeColor="text1"/>
          <w:lang w:val="en-GB"/>
        </w:rPr>
      </w:pPr>
      <w:r w:rsidRPr="007E7548">
        <w:rPr>
          <w:rFonts w:asciiTheme="minorHAnsi" w:hAnsiTheme="minorHAnsi" w:cs="Arial"/>
          <w:color w:val="000000" w:themeColor="text1"/>
          <w:szCs w:val="22"/>
          <w:lang w:val="en-GB"/>
        </w:rPr>
        <w:t>SOEs that provide important social or public services need to be adequately compensated and the value of such social obligations needs to be transparent to the annual budget.</w:t>
      </w:r>
      <w:r w:rsidRPr="00D25BE7">
        <w:rPr>
          <w:rFonts w:asciiTheme="minorHAnsi" w:hAnsiTheme="minorHAnsi" w:cs="Arial"/>
          <w:color w:val="000000" w:themeColor="text1"/>
          <w:szCs w:val="22"/>
          <w:lang w:val="en-GB"/>
        </w:rPr>
        <w:t xml:space="preserve"> </w:t>
      </w:r>
      <w:r w:rsidR="00DD1D97" w:rsidRPr="00D25BE7">
        <w:rPr>
          <w:rFonts w:asciiTheme="minorHAnsi" w:hAnsiTheme="minorHAnsi"/>
          <w:color w:val="000000" w:themeColor="text1"/>
          <w:szCs w:val="22"/>
        </w:rPr>
        <w:t>LEC</w:t>
      </w:r>
      <w:r w:rsidRPr="00D25BE7">
        <w:rPr>
          <w:rFonts w:asciiTheme="minorHAnsi" w:hAnsiTheme="minorHAnsi"/>
          <w:color w:val="000000" w:themeColor="text1"/>
          <w:szCs w:val="22"/>
        </w:rPr>
        <w:t>,</w:t>
      </w:r>
      <w:r w:rsidR="00DD1D97" w:rsidRPr="00D25BE7">
        <w:rPr>
          <w:rFonts w:asciiTheme="minorHAnsi" w:hAnsiTheme="minorHAnsi"/>
          <w:color w:val="000000" w:themeColor="text1"/>
          <w:szCs w:val="22"/>
        </w:rPr>
        <w:t xml:space="preserve"> WASCO</w:t>
      </w:r>
      <w:r w:rsidRPr="00D25BE7">
        <w:rPr>
          <w:rFonts w:asciiTheme="minorHAnsi" w:hAnsiTheme="minorHAnsi"/>
          <w:color w:val="000000" w:themeColor="text1"/>
          <w:szCs w:val="22"/>
        </w:rPr>
        <w:t>, LTDA, and BEDCO</w:t>
      </w:r>
      <w:r w:rsidR="00DD1D97" w:rsidRPr="00D25BE7">
        <w:rPr>
          <w:rFonts w:asciiTheme="minorHAnsi" w:hAnsiTheme="minorHAnsi"/>
          <w:color w:val="000000" w:themeColor="text1"/>
          <w:szCs w:val="22"/>
        </w:rPr>
        <w:t xml:space="preserve"> </w:t>
      </w:r>
      <w:r w:rsidRPr="00D25BE7">
        <w:rPr>
          <w:rFonts w:asciiTheme="minorHAnsi" w:hAnsiTheme="minorHAnsi"/>
          <w:color w:val="000000" w:themeColor="text1"/>
          <w:szCs w:val="22"/>
        </w:rPr>
        <w:t>plus other SOEs need to fully and adequately identify any non-commercial activities or operations so that more effective resource allocation and funding decisions can be made.</w:t>
      </w:r>
      <w:r w:rsidR="00926C43" w:rsidRPr="00D25BE7">
        <w:rPr>
          <w:rFonts w:asciiTheme="minorHAnsi" w:hAnsiTheme="minorHAnsi"/>
          <w:color w:val="000000" w:themeColor="text1"/>
          <w:szCs w:val="22"/>
        </w:rPr>
        <w:t xml:space="preserve"> Hiding social service</w:t>
      </w:r>
      <w:r w:rsidR="002B5BE1" w:rsidRPr="00D25BE7">
        <w:rPr>
          <w:rFonts w:asciiTheme="minorHAnsi" w:hAnsiTheme="minorHAnsi"/>
          <w:color w:val="000000" w:themeColor="text1"/>
          <w:szCs w:val="22"/>
        </w:rPr>
        <w:t xml:space="preserve"> costs</w:t>
      </w:r>
      <w:r w:rsidR="00926C43" w:rsidRPr="00D25BE7">
        <w:rPr>
          <w:rFonts w:asciiTheme="minorHAnsi" w:hAnsiTheme="minorHAnsi"/>
          <w:color w:val="000000" w:themeColor="text1"/>
          <w:szCs w:val="22"/>
        </w:rPr>
        <w:t xml:space="preserve"> among other operational costs is inefficient and leads to sub-optimal decisions for both Government as the investor/funder and the SOE as the service-operator. </w:t>
      </w:r>
      <w:r w:rsidR="002B5BE1" w:rsidRPr="00D25BE7">
        <w:rPr>
          <w:rFonts w:asciiTheme="minorHAnsi" w:hAnsiTheme="minorHAnsi"/>
          <w:color w:val="000000" w:themeColor="text1"/>
          <w:szCs w:val="22"/>
        </w:rPr>
        <w:t>There are a number of best practice mechanisms to manage this, including direct budget allocations and contracted costing (on a performance-basis) for the SOE to deliver the requested social services.</w:t>
      </w:r>
    </w:p>
    <w:p w14:paraId="13BE8E8C" w14:textId="7D7BF5F4" w:rsidR="004503F3" w:rsidRPr="007A3A7D" w:rsidRDefault="007F7CC1" w:rsidP="007A3A7D">
      <w:pPr>
        <w:pStyle w:val="ListParagraph"/>
        <w:ind w:left="426" w:hanging="426"/>
        <w:rPr>
          <w:rFonts w:asciiTheme="minorHAnsi" w:hAnsiTheme="minorHAnsi" w:cs="Arial"/>
          <w:szCs w:val="22"/>
        </w:rPr>
      </w:pPr>
      <w:r w:rsidRPr="007A3A7D">
        <w:rPr>
          <w:rFonts w:asciiTheme="minorHAnsi" w:hAnsiTheme="minorHAnsi" w:cs="Arial"/>
          <w:szCs w:val="22"/>
        </w:rPr>
        <w:t>There is great value in this annual report. However, reporting has to be more dynamic to enable timely intervention as required. It is strongly recommended that the PSD improve the level of cooperation with the SOEs to enable more up-to-date reporting. At the same time the SOEs and other companies have to comply with the PFMAA and companies Act to enable the audited financial statements to be ready and available for inclusion in the report within 6 months of the end of each financial year. In making progress towards that target an effective step would be for the report that will be published in 2021 to include the FY2018/19 and FY2019/20.</w:t>
      </w:r>
    </w:p>
    <w:p w14:paraId="0829112D" w14:textId="40BB5023" w:rsidR="00F6440B" w:rsidRPr="007A3A7D" w:rsidRDefault="007F7CC1" w:rsidP="007A3A7D">
      <w:pPr>
        <w:pStyle w:val="ListParagraph"/>
        <w:ind w:left="426" w:hanging="426"/>
        <w:rPr>
          <w:rFonts w:asciiTheme="minorHAnsi" w:hAnsiTheme="minorHAnsi"/>
          <w:color w:val="000000" w:themeColor="text1"/>
          <w:lang w:val="en-GB"/>
        </w:rPr>
      </w:pPr>
      <w:r w:rsidRPr="007A3A7D">
        <w:rPr>
          <w:rFonts w:asciiTheme="minorHAnsi" w:hAnsiTheme="minorHAnsi"/>
          <w:color w:val="000000" w:themeColor="text1"/>
          <w:szCs w:val="22"/>
        </w:rPr>
        <w:t xml:space="preserve">The publication of this report on the government’s website is itself promoting a greater level of transparency than has been experienced in the past. However, the SOEs (in particular) also require to move to a significantly enhanced level of disclosure and transparency: Annual </w:t>
      </w:r>
      <w:r w:rsidRPr="007A3A7D">
        <w:rPr>
          <w:rFonts w:asciiTheme="minorHAnsi" w:hAnsiTheme="minorHAnsi"/>
          <w:color w:val="000000" w:themeColor="text1"/>
          <w:szCs w:val="22"/>
        </w:rPr>
        <w:lastRenderedPageBreak/>
        <w:t>reports and financial statements; board appointments and remuneration should all be available to the public on each company’s website. This, of course, presumes that each company has a website which is currently not the case</w:t>
      </w:r>
    </w:p>
    <w:p w14:paraId="1FE3FD11" w14:textId="0022022C" w:rsidR="00F635B1" w:rsidRPr="00D25BE7" w:rsidRDefault="00FA7079" w:rsidP="009C433E">
      <w:pPr>
        <w:pStyle w:val="ListParagraph"/>
        <w:ind w:left="426" w:hanging="426"/>
        <w:rPr>
          <w:rFonts w:asciiTheme="minorHAnsi" w:hAnsiTheme="minorHAnsi"/>
          <w:color w:val="000000" w:themeColor="text1"/>
          <w:lang w:val="en-GB"/>
        </w:rPr>
      </w:pPr>
      <w:r w:rsidRPr="00D25BE7">
        <w:rPr>
          <w:rFonts w:asciiTheme="minorHAnsi" w:hAnsiTheme="minorHAnsi"/>
          <w:color w:val="000000" w:themeColor="text1"/>
          <w:szCs w:val="22"/>
        </w:rPr>
        <w:t>Finally, PSD acknowledges the findings in this report are based on information provided, mostly from AFS and not all independently verified. PSD thanks all who have assisted in the compilation of this report and PSD is committed to continue to build capacity and competence and improve on its overall SOE monitoring and on the timeliness and effectiveness of this report.</w:t>
      </w:r>
    </w:p>
    <w:p w14:paraId="499750FD" w14:textId="371686BB" w:rsidR="00713392" w:rsidRDefault="00713392">
      <w:pPr>
        <w:jc w:val="left"/>
        <w:rPr>
          <w:rFonts w:asciiTheme="minorHAnsi" w:hAnsiTheme="minorHAnsi"/>
          <w:color w:val="000000" w:themeColor="text1"/>
          <w:szCs w:val="22"/>
        </w:rPr>
      </w:pPr>
      <w:r>
        <w:rPr>
          <w:rFonts w:asciiTheme="minorHAnsi" w:hAnsiTheme="minorHAnsi"/>
          <w:color w:val="000000" w:themeColor="text1"/>
          <w:szCs w:val="22"/>
        </w:rPr>
        <w:br w:type="page"/>
      </w:r>
    </w:p>
    <w:p w14:paraId="6DA079C4" w14:textId="77777777" w:rsidR="00F635B1" w:rsidRPr="00D25BE7" w:rsidRDefault="00F635B1" w:rsidP="00F635B1">
      <w:pPr>
        <w:rPr>
          <w:rFonts w:asciiTheme="minorHAnsi" w:hAnsiTheme="minorHAnsi"/>
          <w:color w:val="000000" w:themeColor="text1"/>
          <w:lang w:val="en-GB"/>
        </w:rPr>
      </w:pPr>
    </w:p>
    <w:p w14:paraId="3FCC4054" w14:textId="6DBD0A4F" w:rsidR="009C433E" w:rsidRPr="00D25BE7" w:rsidRDefault="000348E8" w:rsidP="00CA7B92">
      <w:pPr>
        <w:pStyle w:val="Heading1"/>
        <w:numPr>
          <w:ilvl w:val="0"/>
          <w:numId w:val="0"/>
        </w:numPr>
        <w:ind w:left="720"/>
        <w:rPr>
          <w:rFonts w:asciiTheme="minorHAnsi" w:hAnsiTheme="minorHAnsi"/>
        </w:rPr>
      </w:pPr>
      <w:bookmarkStart w:id="31" w:name="_Toc455467809"/>
      <w:r w:rsidRPr="00D25BE7">
        <w:rPr>
          <w:rFonts w:asciiTheme="minorHAnsi" w:hAnsiTheme="minorHAnsi"/>
        </w:rPr>
        <w:t>ANNEX 1 – KEY PERFORMANCE INDICATORS</w:t>
      </w:r>
      <w:bookmarkEnd w:id="31"/>
    </w:p>
    <w:p w14:paraId="2DB0CFF7" w14:textId="4E48A6E4" w:rsidR="009A4F70" w:rsidRPr="00D25BE7" w:rsidRDefault="00F635B1" w:rsidP="00F635B1">
      <w:pPr>
        <w:pStyle w:val="ListParagraph"/>
        <w:numPr>
          <w:ilvl w:val="0"/>
          <w:numId w:val="0"/>
        </w:numPr>
        <w:ind w:left="426"/>
        <w:rPr>
          <w:rFonts w:asciiTheme="minorHAnsi" w:hAnsiTheme="minorHAnsi"/>
          <w:color w:val="000000" w:themeColor="text1"/>
          <w:lang w:val="en-GB"/>
        </w:rPr>
      </w:pPr>
      <w:r w:rsidRPr="00D25BE7">
        <w:rPr>
          <w:rFonts w:asciiTheme="minorHAnsi" w:hAnsiTheme="minorHAnsi"/>
          <w:color w:val="000000" w:themeColor="text1"/>
          <w:lang w:val="en-GB"/>
        </w:rPr>
        <w:t>F</w:t>
      </w:r>
      <w:r w:rsidR="009A4F70" w:rsidRPr="00D25BE7">
        <w:rPr>
          <w:rFonts w:asciiTheme="minorHAnsi" w:hAnsiTheme="minorHAnsi"/>
          <w:color w:val="000000" w:themeColor="text1"/>
          <w:lang w:val="en-GB"/>
        </w:rPr>
        <w:t>inancial KPI’s can be used as in the following table:</w:t>
      </w:r>
    </w:p>
    <w:tbl>
      <w:tblPr>
        <w:tblStyle w:val="TableGrid"/>
        <w:tblW w:w="8925" w:type="dxa"/>
        <w:tblInd w:w="426" w:type="dxa"/>
        <w:tblLook w:val="04A0" w:firstRow="1" w:lastRow="0" w:firstColumn="1" w:lastColumn="0" w:noHBand="0" w:noVBand="1"/>
      </w:tblPr>
      <w:tblGrid>
        <w:gridCol w:w="1837"/>
        <w:gridCol w:w="3889"/>
        <w:gridCol w:w="3199"/>
      </w:tblGrid>
      <w:tr w:rsidR="009A4F70" w:rsidRPr="001E16D5" w14:paraId="389DA9B2" w14:textId="77777777" w:rsidTr="00652D3B">
        <w:tc>
          <w:tcPr>
            <w:tcW w:w="1837" w:type="dxa"/>
            <w:shd w:val="clear" w:color="auto" w:fill="BFBFBF" w:themeFill="background1" w:themeFillShade="BF"/>
          </w:tcPr>
          <w:p w14:paraId="7326F13F" w14:textId="7B1019FA" w:rsidR="009A4F70" w:rsidRPr="00D25BE7" w:rsidRDefault="003A6A90" w:rsidP="00921A26">
            <w:pPr>
              <w:pStyle w:val="ListParagraph"/>
              <w:numPr>
                <w:ilvl w:val="0"/>
                <w:numId w:val="0"/>
              </w:numPr>
              <w:spacing w:after="0"/>
              <w:jc w:val="center"/>
              <w:rPr>
                <w:rFonts w:asciiTheme="minorHAnsi" w:hAnsiTheme="minorHAnsi"/>
                <w:b/>
                <w:color w:val="000000" w:themeColor="text1"/>
                <w:lang w:val="en-GB"/>
              </w:rPr>
            </w:pPr>
            <w:r w:rsidRPr="00D25BE7">
              <w:rPr>
                <w:rFonts w:asciiTheme="minorHAnsi" w:hAnsiTheme="minorHAnsi"/>
                <w:b/>
                <w:color w:val="000000" w:themeColor="text1"/>
                <w:lang w:val="en-GB"/>
              </w:rPr>
              <w:t>Key Indicator</w:t>
            </w:r>
          </w:p>
        </w:tc>
        <w:tc>
          <w:tcPr>
            <w:tcW w:w="3889" w:type="dxa"/>
            <w:shd w:val="clear" w:color="auto" w:fill="BFBFBF" w:themeFill="background1" w:themeFillShade="BF"/>
          </w:tcPr>
          <w:p w14:paraId="3801F8C5" w14:textId="6B4A231B" w:rsidR="009A4F70" w:rsidRPr="00D25BE7" w:rsidRDefault="003A6A90" w:rsidP="00921A26">
            <w:pPr>
              <w:pStyle w:val="ListParagraph"/>
              <w:numPr>
                <w:ilvl w:val="0"/>
                <w:numId w:val="0"/>
              </w:numPr>
              <w:spacing w:after="0"/>
              <w:jc w:val="center"/>
              <w:rPr>
                <w:rFonts w:asciiTheme="minorHAnsi" w:hAnsiTheme="minorHAnsi"/>
                <w:b/>
                <w:color w:val="000000" w:themeColor="text1"/>
                <w:lang w:val="en-GB"/>
              </w:rPr>
            </w:pPr>
            <w:r w:rsidRPr="00D25BE7">
              <w:rPr>
                <w:rFonts w:asciiTheme="minorHAnsi" w:hAnsiTheme="minorHAnsi"/>
                <w:b/>
                <w:color w:val="000000" w:themeColor="text1"/>
                <w:lang w:val="en-GB"/>
              </w:rPr>
              <w:t>Explanation</w:t>
            </w:r>
          </w:p>
        </w:tc>
        <w:tc>
          <w:tcPr>
            <w:tcW w:w="3199" w:type="dxa"/>
            <w:shd w:val="clear" w:color="auto" w:fill="BFBFBF" w:themeFill="background1" w:themeFillShade="BF"/>
          </w:tcPr>
          <w:p w14:paraId="3EB17336" w14:textId="3F0C99D3" w:rsidR="009A4F70" w:rsidRPr="00D25BE7" w:rsidRDefault="003A6A90" w:rsidP="00921A26">
            <w:pPr>
              <w:pStyle w:val="ListParagraph"/>
              <w:numPr>
                <w:ilvl w:val="0"/>
                <w:numId w:val="0"/>
              </w:numPr>
              <w:spacing w:after="0"/>
              <w:jc w:val="center"/>
              <w:rPr>
                <w:rFonts w:asciiTheme="minorHAnsi" w:hAnsiTheme="minorHAnsi"/>
                <w:b/>
                <w:color w:val="000000" w:themeColor="text1"/>
                <w:lang w:val="en-GB"/>
              </w:rPr>
            </w:pPr>
            <w:r w:rsidRPr="00D25BE7">
              <w:rPr>
                <w:rFonts w:asciiTheme="minorHAnsi" w:hAnsiTheme="minorHAnsi"/>
                <w:b/>
                <w:color w:val="000000" w:themeColor="text1"/>
                <w:lang w:val="en-GB"/>
              </w:rPr>
              <w:t>Calculation</w:t>
            </w:r>
          </w:p>
        </w:tc>
      </w:tr>
      <w:tr w:rsidR="00F635B1" w:rsidRPr="001E16D5" w14:paraId="657B6A8C" w14:textId="77777777" w:rsidTr="00652D3B">
        <w:tc>
          <w:tcPr>
            <w:tcW w:w="1837" w:type="dxa"/>
            <w:vMerge w:val="restart"/>
            <w:vAlign w:val="center"/>
          </w:tcPr>
          <w:p w14:paraId="46280526" w14:textId="0EB51E39" w:rsidR="00F635B1" w:rsidRPr="00D25BE7" w:rsidRDefault="00F635B1" w:rsidP="00ED6F09">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stheme="minorHAnsi"/>
                <w:sz w:val="20"/>
                <w:lang w:eastAsia="en-GB"/>
              </w:rPr>
              <w:t>EBITDA %</w:t>
            </w:r>
          </w:p>
        </w:tc>
        <w:tc>
          <w:tcPr>
            <w:tcW w:w="3889" w:type="dxa"/>
          </w:tcPr>
          <w:p w14:paraId="085A5D3F" w14:textId="7B4A971F" w:rsidR="00F635B1" w:rsidRPr="00D25BE7" w:rsidRDefault="00F635B1" w:rsidP="00ED6F09">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olor w:val="000000" w:themeColor="text1"/>
                <w:sz w:val="20"/>
                <w:lang w:val="en-GB"/>
              </w:rPr>
              <w:t>Measures profitability from core operations without capital and financing costs</w:t>
            </w:r>
          </w:p>
        </w:tc>
        <w:tc>
          <w:tcPr>
            <w:tcW w:w="3199" w:type="dxa"/>
          </w:tcPr>
          <w:p w14:paraId="0DB7F695" w14:textId="617739C1" w:rsidR="00F635B1" w:rsidRPr="00D25BE7" w:rsidRDefault="00F635B1" w:rsidP="00ED6F09">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olor w:val="000000" w:themeColor="text1"/>
                <w:sz w:val="20"/>
                <w:lang w:val="en-GB"/>
              </w:rPr>
              <w:t>Profit add back interest, tax, depreciation &amp; amortisation charges and express as a % of revenue</w:t>
            </w:r>
          </w:p>
        </w:tc>
      </w:tr>
      <w:tr w:rsidR="00F635B1" w:rsidRPr="001E16D5" w14:paraId="1D2A5CE1" w14:textId="77777777" w:rsidTr="00CC44E3">
        <w:tc>
          <w:tcPr>
            <w:tcW w:w="1837" w:type="dxa"/>
            <w:vMerge/>
            <w:vAlign w:val="center"/>
          </w:tcPr>
          <w:p w14:paraId="50F3CBBF" w14:textId="77777777" w:rsidR="00F635B1" w:rsidRPr="00D25BE7" w:rsidRDefault="00F635B1" w:rsidP="00ED6F09">
            <w:pPr>
              <w:pStyle w:val="ListParagraph"/>
              <w:numPr>
                <w:ilvl w:val="0"/>
                <w:numId w:val="0"/>
              </w:numPr>
              <w:spacing w:before="120" w:after="0"/>
              <w:rPr>
                <w:rFonts w:asciiTheme="minorHAnsi" w:hAnsiTheme="minorHAnsi" w:cstheme="minorHAnsi"/>
                <w:sz w:val="20"/>
                <w:lang w:eastAsia="en-GB"/>
              </w:rPr>
            </w:pPr>
          </w:p>
        </w:tc>
        <w:tc>
          <w:tcPr>
            <w:tcW w:w="7088" w:type="dxa"/>
            <w:gridSpan w:val="2"/>
          </w:tcPr>
          <w:p w14:paraId="2DF49192" w14:textId="77777777" w:rsidR="00F635B1" w:rsidRPr="00D25BE7" w:rsidRDefault="00F635B1" w:rsidP="00ED6F09">
            <w:pPr>
              <w:pStyle w:val="ListParagraph"/>
              <w:numPr>
                <w:ilvl w:val="0"/>
                <w:numId w:val="0"/>
              </w:numPr>
              <w:spacing w:before="120" w:after="0"/>
              <w:rPr>
                <w:rFonts w:asciiTheme="minorHAnsi" w:hAnsiTheme="minorHAnsi"/>
                <w:color w:val="000000" w:themeColor="text1"/>
                <w:sz w:val="20"/>
                <w:lang w:val="en-GB"/>
              </w:rPr>
            </w:pPr>
          </w:p>
          <w:p w14:paraId="214C397F" w14:textId="77777777" w:rsidR="00F635B1" w:rsidRPr="00D25BE7" w:rsidRDefault="00F635B1" w:rsidP="00F635B1">
            <w:pPr>
              <w:rPr>
                <w:rFonts w:asciiTheme="minorHAnsi" w:hAnsiTheme="minorHAnsi"/>
                <w:sz w:val="20"/>
                <w:u w:val="single"/>
              </w:rPr>
            </w:pPr>
            <w:r w:rsidRPr="00D25BE7">
              <w:rPr>
                <w:rFonts w:asciiTheme="minorHAnsi" w:hAnsiTheme="minorHAnsi"/>
                <w:sz w:val="20"/>
                <w:u w:val="single"/>
              </w:rPr>
              <w:t xml:space="preserve">   Net Profit before interest, tax, depreciation (&amp; amortization) x 100</w:t>
            </w:r>
          </w:p>
          <w:p w14:paraId="6CD4E9F3" w14:textId="12635312" w:rsidR="00F635B1" w:rsidRPr="00D25BE7" w:rsidRDefault="00F635B1" w:rsidP="00F635B1">
            <w:pPr>
              <w:rPr>
                <w:rFonts w:asciiTheme="minorHAnsi" w:hAnsiTheme="minorHAnsi"/>
                <w:sz w:val="20"/>
              </w:rPr>
            </w:pPr>
            <w:r w:rsidRPr="00D25BE7">
              <w:rPr>
                <w:rFonts w:asciiTheme="minorHAnsi" w:hAnsiTheme="minorHAnsi"/>
                <w:sz w:val="20"/>
              </w:rPr>
              <w:t xml:space="preserve">        </w:t>
            </w:r>
            <w:r w:rsidRPr="00D25BE7">
              <w:rPr>
                <w:rFonts w:asciiTheme="minorHAnsi" w:hAnsiTheme="minorHAnsi"/>
                <w:sz w:val="20"/>
              </w:rPr>
              <w:tab/>
            </w:r>
            <w:r w:rsidRPr="00D25BE7">
              <w:rPr>
                <w:rFonts w:asciiTheme="minorHAnsi" w:hAnsiTheme="minorHAnsi"/>
                <w:sz w:val="20"/>
              </w:rPr>
              <w:tab/>
            </w:r>
            <w:r w:rsidRPr="00D25BE7">
              <w:rPr>
                <w:rFonts w:asciiTheme="minorHAnsi" w:hAnsiTheme="minorHAnsi"/>
                <w:sz w:val="20"/>
              </w:rPr>
              <w:tab/>
              <w:t>Revenue</w:t>
            </w:r>
          </w:p>
          <w:p w14:paraId="211E297D" w14:textId="1A8148DC" w:rsidR="00F635B1" w:rsidRPr="00D25BE7" w:rsidRDefault="00F635B1" w:rsidP="00ED6F09">
            <w:pPr>
              <w:pStyle w:val="ListParagraph"/>
              <w:numPr>
                <w:ilvl w:val="0"/>
                <w:numId w:val="0"/>
              </w:numPr>
              <w:spacing w:before="120" w:after="0"/>
              <w:rPr>
                <w:rFonts w:asciiTheme="minorHAnsi" w:hAnsiTheme="minorHAnsi"/>
                <w:color w:val="000000" w:themeColor="text1"/>
                <w:sz w:val="20"/>
                <w:lang w:val="en-GB"/>
              </w:rPr>
            </w:pPr>
          </w:p>
        </w:tc>
      </w:tr>
      <w:tr w:rsidR="00F635B1" w:rsidRPr="001E16D5" w14:paraId="66C5EAE4" w14:textId="77777777" w:rsidTr="00652D3B">
        <w:tc>
          <w:tcPr>
            <w:tcW w:w="1837" w:type="dxa"/>
            <w:vMerge w:val="restart"/>
            <w:vAlign w:val="center"/>
          </w:tcPr>
          <w:p w14:paraId="7C3437F4" w14:textId="55552142" w:rsidR="00F635B1" w:rsidRPr="00D25BE7" w:rsidRDefault="00F635B1" w:rsidP="00ED6F09">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stheme="minorHAnsi"/>
                <w:sz w:val="20"/>
                <w:lang w:eastAsia="en-GB"/>
              </w:rPr>
              <w:t>NOPAT %</w:t>
            </w:r>
          </w:p>
        </w:tc>
        <w:tc>
          <w:tcPr>
            <w:tcW w:w="3889" w:type="dxa"/>
          </w:tcPr>
          <w:p w14:paraId="7A53895E" w14:textId="7C94A8EA" w:rsidR="00F635B1" w:rsidRPr="00D25BE7" w:rsidRDefault="00F635B1" w:rsidP="00ED6F09">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olor w:val="000000" w:themeColor="text1"/>
                <w:sz w:val="20"/>
                <w:lang w:val="en-GB"/>
              </w:rPr>
              <w:t>Measures after tax profitability from core operations without considering financing costs</w:t>
            </w:r>
          </w:p>
        </w:tc>
        <w:tc>
          <w:tcPr>
            <w:tcW w:w="3199" w:type="dxa"/>
          </w:tcPr>
          <w:p w14:paraId="71C9D38E" w14:textId="514908C6" w:rsidR="00F635B1" w:rsidRPr="00D25BE7" w:rsidRDefault="00F635B1" w:rsidP="00ED6F09">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olor w:val="000000" w:themeColor="text1"/>
                <w:sz w:val="20"/>
                <w:lang w:val="en-GB"/>
              </w:rPr>
              <w:t>Profit from operations less tax as a % of operating revenue</w:t>
            </w:r>
          </w:p>
        </w:tc>
      </w:tr>
      <w:tr w:rsidR="00F635B1" w:rsidRPr="001E16D5" w14:paraId="68FB1512" w14:textId="77777777" w:rsidTr="00CC44E3">
        <w:tc>
          <w:tcPr>
            <w:tcW w:w="1837" w:type="dxa"/>
            <w:vMerge/>
            <w:vAlign w:val="center"/>
          </w:tcPr>
          <w:p w14:paraId="38772C27" w14:textId="77777777" w:rsidR="00F635B1" w:rsidRPr="00D25BE7" w:rsidRDefault="00F635B1" w:rsidP="00ED6F09">
            <w:pPr>
              <w:pStyle w:val="ListParagraph"/>
              <w:numPr>
                <w:ilvl w:val="0"/>
                <w:numId w:val="0"/>
              </w:numPr>
              <w:spacing w:before="120" w:after="0"/>
              <w:rPr>
                <w:rFonts w:asciiTheme="minorHAnsi" w:hAnsiTheme="minorHAnsi" w:cstheme="minorHAnsi"/>
                <w:sz w:val="20"/>
                <w:lang w:eastAsia="en-GB"/>
              </w:rPr>
            </w:pPr>
          </w:p>
        </w:tc>
        <w:tc>
          <w:tcPr>
            <w:tcW w:w="7088" w:type="dxa"/>
            <w:gridSpan w:val="2"/>
          </w:tcPr>
          <w:p w14:paraId="01E088AE" w14:textId="77777777" w:rsidR="00F635B1" w:rsidRPr="00D25BE7" w:rsidRDefault="00F635B1" w:rsidP="00ED6F09">
            <w:pPr>
              <w:pStyle w:val="ListParagraph"/>
              <w:numPr>
                <w:ilvl w:val="0"/>
                <w:numId w:val="0"/>
              </w:numPr>
              <w:spacing w:before="120" w:after="0"/>
              <w:rPr>
                <w:rFonts w:asciiTheme="minorHAnsi" w:hAnsiTheme="minorHAnsi"/>
                <w:color w:val="000000" w:themeColor="text1"/>
                <w:sz w:val="20"/>
                <w:lang w:val="en-GB"/>
              </w:rPr>
            </w:pPr>
          </w:p>
          <w:p w14:paraId="1DE81D75" w14:textId="77777777" w:rsidR="00F635B1" w:rsidRPr="00D25BE7" w:rsidRDefault="00F635B1" w:rsidP="00F635B1">
            <w:pPr>
              <w:rPr>
                <w:rFonts w:asciiTheme="minorHAnsi" w:hAnsiTheme="minorHAnsi"/>
                <w:sz w:val="20"/>
                <w:u w:val="single"/>
              </w:rPr>
            </w:pPr>
            <w:r w:rsidRPr="00D25BE7">
              <w:rPr>
                <w:rFonts w:asciiTheme="minorHAnsi" w:hAnsiTheme="minorHAnsi"/>
                <w:sz w:val="20"/>
                <w:u w:val="single"/>
              </w:rPr>
              <w:t xml:space="preserve">   Net Profit after tax + finance charges x 100</w:t>
            </w:r>
          </w:p>
          <w:p w14:paraId="6CBEC55B" w14:textId="77777777" w:rsidR="00F635B1" w:rsidRPr="00D25BE7" w:rsidRDefault="00F635B1" w:rsidP="00F635B1">
            <w:pPr>
              <w:rPr>
                <w:rFonts w:asciiTheme="minorHAnsi" w:hAnsiTheme="minorHAnsi"/>
                <w:sz w:val="20"/>
              </w:rPr>
            </w:pPr>
            <w:r w:rsidRPr="00D25BE7">
              <w:rPr>
                <w:rFonts w:asciiTheme="minorHAnsi" w:hAnsiTheme="minorHAnsi"/>
                <w:sz w:val="20"/>
              </w:rPr>
              <w:t xml:space="preserve">        </w:t>
            </w:r>
            <w:r w:rsidRPr="00D25BE7">
              <w:rPr>
                <w:rFonts w:asciiTheme="minorHAnsi" w:hAnsiTheme="minorHAnsi"/>
                <w:sz w:val="20"/>
              </w:rPr>
              <w:tab/>
            </w:r>
            <w:r w:rsidRPr="00D25BE7">
              <w:rPr>
                <w:rFonts w:asciiTheme="minorHAnsi" w:hAnsiTheme="minorHAnsi"/>
                <w:sz w:val="20"/>
              </w:rPr>
              <w:tab/>
              <w:t>Revenue</w:t>
            </w:r>
          </w:p>
          <w:p w14:paraId="588E5FB9" w14:textId="709E3EEA" w:rsidR="00F635B1" w:rsidRPr="00D25BE7" w:rsidRDefault="00F635B1" w:rsidP="00ED6F09">
            <w:pPr>
              <w:pStyle w:val="ListParagraph"/>
              <w:numPr>
                <w:ilvl w:val="0"/>
                <w:numId w:val="0"/>
              </w:numPr>
              <w:spacing w:before="120" w:after="0"/>
              <w:rPr>
                <w:rFonts w:asciiTheme="minorHAnsi" w:hAnsiTheme="minorHAnsi"/>
                <w:color w:val="000000" w:themeColor="text1"/>
                <w:sz w:val="20"/>
                <w:lang w:val="en-GB"/>
              </w:rPr>
            </w:pPr>
          </w:p>
        </w:tc>
      </w:tr>
      <w:tr w:rsidR="00ED6F09" w:rsidRPr="001E16D5" w14:paraId="57C2BA21" w14:textId="77777777" w:rsidTr="00652D3B">
        <w:tc>
          <w:tcPr>
            <w:tcW w:w="1837" w:type="dxa"/>
            <w:vAlign w:val="center"/>
          </w:tcPr>
          <w:p w14:paraId="03E018A2" w14:textId="3DE9D5CA" w:rsidR="00ED6F09" w:rsidRPr="00D25BE7" w:rsidRDefault="00ED6F09" w:rsidP="00ED6F09">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stheme="minorHAnsi"/>
                <w:sz w:val="20"/>
                <w:lang w:eastAsia="en-GB"/>
              </w:rPr>
              <w:t>ROE %</w:t>
            </w:r>
          </w:p>
        </w:tc>
        <w:tc>
          <w:tcPr>
            <w:tcW w:w="3889" w:type="dxa"/>
          </w:tcPr>
          <w:p w14:paraId="471D9E3F" w14:textId="32451D6C" w:rsidR="00ED6F09" w:rsidRPr="00D25BE7" w:rsidRDefault="003F5C90" w:rsidP="00ED6F09">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olor w:val="000000" w:themeColor="text1"/>
                <w:sz w:val="20"/>
                <w:lang w:val="en-GB"/>
              </w:rPr>
              <w:t>Measures business performance through the value of return (Profit after tax) relative to the value of the investment (Shareholder’s Equity)</w:t>
            </w:r>
          </w:p>
        </w:tc>
        <w:tc>
          <w:tcPr>
            <w:tcW w:w="3199" w:type="dxa"/>
          </w:tcPr>
          <w:p w14:paraId="3D2A4782" w14:textId="77777777" w:rsidR="00ED6F09" w:rsidRPr="00D25BE7" w:rsidRDefault="00586C40" w:rsidP="00ED6F09">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olor w:val="000000" w:themeColor="text1"/>
                <w:sz w:val="20"/>
                <w:lang w:val="en-GB"/>
              </w:rPr>
              <w:t>Profit after tax as a percentage of total equity</w:t>
            </w:r>
          </w:p>
          <w:p w14:paraId="79E62860" w14:textId="77777777" w:rsidR="00906C42" w:rsidRPr="00D25BE7" w:rsidRDefault="00906C42" w:rsidP="00ED6F09">
            <w:pPr>
              <w:pStyle w:val="ListParagraph"/>
              <w:numPr>
                <w:ilvl w:val="0"/>
                <w:numId w:val="0"/>
              </w:numPr>
              <w:spacing w:before="120" w:after="0"/>
              <w:rPr>
                <w:rFonts w:asciiTheme="minorHAnsi" w:hAnsiTheme="minorHAnsi"/>
                <w:color w:val="000000" w:themeColor="text1"/>
                <w:sz w:val="20"/>
                <w:lang w:val="en-GB"/>
              </w:rPr>
            </w:pPr>
          </w:p>
          <w:p w14:paraId="4529DAB3" w14:textId="77777777" w:rsidR="00906C42" w:rsidRPr="00D25BE7" w:rsidRDefault="00906C42" w:rsidP="00906C42">
            <w:pPr>
              <w:rPr>
                <w:rFonts w:asciiTheme="minorHAnsi" w:hAnsiTheme="minorHAnsi"/>
                <w:sz w:val="20"/>
                <w:u w:val="single"/>
              </w:rPr>
            </w:pPr>
            <w:r w:rsidRPr="00D25BE7">
              <w:rPr>
                <w:rFonts w:asciiTheme="minorHAnsi" w:hAnsiTheme="minorHAnsi"/>
                <w:sz w:val="20"/>
                <w:u w:val="single"/>
              </w:rPr>
              <w:t>Net Profit after Tax</w:t>
            </w:r>
          </w:p>
          <w:p w14:paraId="71B7ED40" w14:textId="77777777" w:rsidR="00906C42" w:rsidRPr="00D25BE7" w:rsidRDefault="00906C42" w:rsidP="00906C42">
            <w:pPr>
              <w:rPr>
                <w:rFonts w:asciiTheme="minorHAnsi" w:hAnsiTheme="minorHAnsi"/>
                <w:sz w:val="20"/>
              </w:rPr>
            </w:pPr>
            <w:r w:rsidRPr="00D25BE7">
              <w:rPr>
                <w:rFonts w:asciiTheme="minorHAnsi" w:hAnsiTheme="minorHAnsi"/>
                <w:sz w:val="20"/>
              </w:rPr>
              <w:t xml:space="preserve">      Total Equity</w:t>
            </w:r>
          </w:p>
          <w:p w14:paraId="564CB4D9" w14:textId="0DA7F113" w:rsidR="00906C42" w:rsidRPr="00D25BE7" w:rsidRDefault="00906C42" w:rsidP="00ED6F09">
            <w:pPr>
              <w:pStyle w:val="ListParagraph"/>
              <w:numPr>
                <w:ilvl w:val="0"/>
                <w:numId w:val="0"/>
              </w:numPr>
              <w:spacing w:before="120" w:after="0"/>
              <w:rPr>
                <w:rFonts w:asciiTheme="minorHAnsi" w:hAnsiTheme="minorHAnsi"/>
                <w:color w:val="000000" w:themeColor="text1"/>
                <w:sz w:val="20"/>
                <w:lang w:val="en-GB"/>
              </w:rPr>
            </w:pPr>
          </w:p>
        </w:tc>
      </w:tr>
      <w:tr w:rsidR="00ED6F09" w:rsidRPr="001E16D5" w14:paraId="1C023849" w14:textId="77777777" w:rsidTr="00652D3B">
        <w:tc>
          <w:tcPr>
            <w:tcW w:w="1837" w:type="dxa"/>
            <w:vAlign w:val="center"/>
          </w:tcPr>
          <w:p w14:paraId="7A88890D" w14:textId="4EBB870A" w:rsidR="00ED6F09" w:rsidRPr="00D25BE7" w:rsidRDefault="00ED6F09" w:rsidP="00ED6F09">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stheme="minorHAnsi"/>
                <w:sz w:val="20"/>
                <w:lang w:eastAsia="en-GB"/>
              </w:rPr>
              <w:t>ROA %</w:t>
            </w:r>
          </w:p>
        </w:tc>
        <w:tc>
          <w:tcPr>
            <w:tcW w:w="3889" w:type="dxa"/>
          </w:tcPr>
          <w:p w14:paraId="62FEB2E7" w14:textId="2A4C207B" w:rsidR="00ED6F09" w:rsidRPr="00D25BE7" w:rsidRDefault="003A38AB" w:rsidP="00ED6F09">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olor w:val="000000" w:themeColor="text1"/>
                <w:sz w:val="20"/>
                <w:lang w:val="en-GB"/>
              </w:rPr>
              <w:t>Measures business performance through the value of return (Profit after tax) relative to the value of the total assets engaged in the business</w:t>
            </w:r>
          </w:p>
        </w:tc>
        <w:tc>
          <w:tcPr>
            <w:tcW w:w="3199" w:type="dxa"/>
          </w:tcPr>
          <w:p w14:paraId="471DEC9C" w14:textId="77777777" w:rsidR="00ED6F09" w:rsidRPr="00D25BE7" w:rsidRDefault="00586C40" w:rsidP="00ED6F09">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olor w:val="000000" w:themeColor="text1"/>
                <w:sz w:val="20"/>
                <w:lang w:val="en-GB"/>
              </w:rPr>
              <w:t>Profit after tax as a percentage of total assets</w:t>
            </w:r>
          </w:p>
          <w:p w14:paraId="586F1EF8" w14:textId="77777777" w:rsidR="00906C42" w:rsidRPr="00D25BE7" w:rsidRDefault="00906C42" w:rsidP="00ED6F09">
            <w:pPr>
              <w:pStyle w:val="ListParagraph"/>
              <w:numPr>
                <w:ilvl w:val="0"/>
                <w:numId w:val="0"/>
              </w:numPr>
              <w:spacing w:before="120" w:after="0"/>
              <w:rPr>
                <w:rFonts w:asciiTheme="minorHAnsi" w:hAnsiTheme="minorHAnsi"/>
                <w:color w:val="000000" w:themeColor="text1"/>
                <w:sz w:val="20"/>
                <w:lang w:val="en-GB"/>
              </w:rPr>
            </w:pPr>
          </w:p>
          <w:p w14:paraId="26A6FAAB" w14:textId="77777777" w:rsidR="00906C42" w:rsidRPr="00D25BE7" w:rsidRDefault="00906C42" w:rsidP="00906C42">
            <w:pPr>
              <w:rPr>
                <w:rFonts w:asciiTheme="minorHAnsi" w:hAnsiTheme="minorHAnsi"/>
                <w:sz w:val="20"/>
                <w:u w:val="single"/>
              </w:rPr>
            </w:pPr>
            <w:r w:rsidRPr="00D25BE7">
              <w:rPr>
                <w:rFonts w:asciiTheme="minorHAnsi" w:hAnsiTheme="minorHAnsi"/>
                <w:sz w:val="20"/>
                <w:u w:val="single"/>
              </w:rPr>
              <w:t>Net Profit after Tax</w:t>
            </w:r>
          </w:p>
          <w:p w14:paraId="455A2EAA" w14:textId="5BB4D052" w:rsidR="00906C42" w:rsidRPr="00D25BE7" w:rsidRDefault="00906C42" w:rsidP="00906C42">
            <w:pPr>
              <w:rPr>
                <w:rFonts w:asciiTheme="minorHAnsi" w:hAnsiTheme="minorHAnsi"/>
                <w:sz w:val="20"/>
              </w:rPr>
            </w:pPr>
            <w:r w:rsidRPr="00D25BE7">
              <w:rPr>
                <w:rFonts w:asciiTheme="minorHAnsi" w:hAnsiTheme="minorHAnsi"/>
                <w:sz w:val="20"/>
              </w:rPr>
              <w:t xml:space="preserve">        Total Assets</w:t>
            </w:r>
          </w:p>
          <w:p w14:paraId="6022396F" w14:textId="3A03F852" w:rsidR="00906C42" w:rsidRPr="00D25BE7" w:rsidRDefault="00906C42" w:rsidP="00ED6F09">
            <w:pPr>
              <w:pStyle w:val="ListParagraph"/>
              <w:numPr>
                <w:ilvl w:val="0"/>
                <w:numId w:val="0"/>
              </w:numPr>
              <w:spacing w:before="120" w:after="0"/>
              <w:rPr>
                <w:rFonts w:asciiTheme="minorHAnsi" w:hAnsiTheme="minorHAnsi"/>
                <w:color w:val="000000" w:themeColor="text1"/>
                <w:sz w:val="20"/>
                <w:lang w:val="en-GB"/>
              </w:rPr>
            </w:pPr>
          </w:p>
        </w:tc>
      </w:tr>
      <w:tr w:rsidR="00ED6F09" w:rsidRPr="001E16D5" w14:paraId="7D1E376A" w14:textId="77777777" w:rsidTr="00652D3B">
        <w:tc>
          <w:tcPr>
            <w:tcW w:w="1837" w:type="dxa"/>
            <w:vAlign w:val="center"/>
          </w:tcPr>
          <w:p w14:paraId="7FD6440A" w14:textId="695C822D" w:rsidR="00ED6F09" w:rsidRPr="00D25BE7" w:rsidRDefault="00ED6F09" w:rsidP="00ED6F09">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stheme="minorHAnsi"/>
                <w:sz w:val="20"/>
                <w:lang w:eastAsia="en-GB"/>
              </w:rPr>
              <w:t>Current Assets / Current liabilities</w:t>
            </w:r>
            <w:r w:rsidR="00E0197F" w:rsidRPr="00D25BE7">
              <w:rPr>
                <w:rFonts w:asciiTheme="minorHAnsi" w:hAnsiTheme="minorHAnsi" w:cstheme="minorHAnsi"/>
                <w:sz w:val="20"/>
                <w:lang w:eastAsia="en-GB"/>
              </w:rPr>
              <w:t xml:space="preserve"> (current ratio)</w:t>
            </w:r>
          </w:p>
        </w:tc>
        <w:tc>
          <w:tcPr>
            <w:tcW w:w="3889" w:type="dxa"/>
          </w:tcPr>
          <w:p w14:paraId="59FD2500" w14:textId="7CE0FD57" w:rsidR="00ED6F09" w:rsidRPr="00D25BE7" w:rsidRDefault="00276897" w:rsidP="00ED6F09">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olor w:val="000000" w:themeColor="text1"/>
                <w:sz w:val="20"/>
                <w:lang w:val="en-GB"/>
              </w:rPr>
              <w:t>Provides a measure of liquidity or cash provision to meet supplier, employee and other operating payments in an on-going and timely manner</w:t>
            </w:r>
            <w:r w:rsidR="00635D2F" w:rsidRPr="00D25BE7">
              <w:rPr>
                <w:rFonts w:asciiTheme="minorHAnsi" w:hAnsiTheme="minorHAnsi"/>
                <w:color w:val="000000" w:themeColor="text1"/>
                <w:sz w:val="20"/>
                <w:lang w:val="en-GB"/>
              </w:rPr>
              <w:t xml:space="preserve"> based on conversion of current assets (cash, receivables, inventories) to cash</w:t>
            </w:r>
          </w:p>
        </w:tc>
        <w:tc>
          <w:tcPr>
            <w:tcW w:w="3199" w:type="dxa"/>
          </w:tcPr>
          <w:p w14:paraId="3CCD67A1" w14:textId="77777777" w:rsidR="00ED6F09" w:rsidRPr="00D25BE7" w:rsidRDefault="00586C40" w:rsidP="00ED6F09">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olor w:val="000000" w:themeColor="text1"/>
                <w:sz w:val="20"/>
                <w:lang w:val="en-GB"/>
              </w:rPr>
              <w:t>Total current assets expressed as a proportion of current liabilities (amounts due)</w:t>
            </w:r>
          </w:p>
          <w:p w14:paraId="2FAD3C6C" w14:textId="77777777" w:rsidR="009B0761" w:rsidRPr="00D25BE7" w:rsidRDefault="009B0761" w:rsidP="00ED6F09">
            <w:pPr>
              <w:pStyle w:val="ListParagraph"/>
              <w:numPr>
                <w:ilvl w:val="0"/>
                <w:numId w:val="0"/>
              </w:numPr>
              <w:spacing w:before="120" w:after="0"/>
              <w:rPr>
                <w:rFonts w:asciiTheme="minorHAnsi" w:hAnsiTheme="minorHAnsi"/>
                <w:color w:val="000000" w:themeColor="text1"/>
                <w:sz w:val="20"/>
                <w:lang w:val="en-GB"/>
              </w:rPr>
            </w:pPr>
          </w:p>
          <w:p w14:paraId="23F3C890" w14:textId="361369AA" w:rsidR="009B0761" w:rsidRPr="00D25BE7" w:rsidRDefault="009B0761" w:rsidP="009B0761">
            <w:pPr>
              <w:rPr>
                <w:rFonts w:asciiTheme="minorHAnsi" w:hAnsiTheme="minorHAnsi"/>
                <w:sz w:val="20"/>
                <w:u w:val="single"/>
              </w:rPr>
            </w:pPr>
            <w:r w:rsidRPr="00D25BE7">
              <w:rPr>
                <w:rFonts w:asciiTheme="minorHAnsi" w:hAnsiTheme="minorHAnsi"/>
                <w:sz w:val="20"/>
                <w:u w:val="single"/>
              </w:rPr>
              <w:t xml:space="preserve">  Current assets</w:t>
            </w:r>
          </w:p>
          <w:p w14:paraId="5A62012C" w14:textId="77777777" w:rsidR="009B0761" w:rsidRPr="00D25BE7" w:rsidRDefault="009B0761" w:rsidP="009B0761">
            <w:pPr>
              <w:jc w:val="left"/>
              <w:rPr>
                <w:rFonts w:asciiTheme="minorHAnsi" w:hAnsiTheme="minorHAnsi"/>
                <w:sz w:val="20"/>
              </w:rPr>
            </w:pPr>
            <w:r w:rsidRPr="00D25BE7">
              <w:rPr>
                <w:rFonts w:asciiTheme="minorHAnsi" w:hAnsiTheme="minorHAnsi"/>
                <w:sz w:val="20"/>
              </w:rPr>
              <w:t>Current liabilities</w:t>
            </w:r>
          </w:p>
          <w:p w14:paraId="5F814418" w14:textId="2F0D6375" w:rsidR="009B0761" w:rsidRPr="00D25BE7" w:rsidRDefault="009B0761" w:rsidP="00ED6F09">
            <w:pPr>
              <w:pStyle w:val="ListParagraph"/>
              <w:numPr>
                <w:ilvl w:val="0"/>
                <w:numId w:val="0"/>
              </w:numPr>
              <w:spacing w:before="120" w:after="0"/>
              <w:rPr>
                <w:rFonts w:asciiTheme="minorHAnsi" w:hAnsiTheme="minorHAnsi"/>
                <w:color w:val="000000" w:themeColor="text1"/>
                <w:sz w:val="20"/>
                <w:lang w:val="en-GB"/>
              </w:rPr>
            </w:pPr>
          </w:p>
        </w:tc>
      </w:tr>
      <w:tr w:rsidR="00586C40" w:rsidRPr="001E16D5" w14:paraId="5AFCB6D1" w14:textId="77777777" w:rsidTr="00652D3B">
        <w:tc>
          <w:tcPr>
            <w:tcW w:w="1837" w:type="dxa"/>
            <w:vAlign w:val="center"/>
          </w:tcPr>
          <w:p w14:paraId="2A79065C" w14:textId="0F44F2AE" w:rsidR="00586C40" w:rsidRPr="00D25BE7" w:rsidRDefault="00586C40" w:rsidP="00586C40">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stheme="minorHAnsi"/>
                <w:sz w:val="20"/>
                <w:lang w:eastAsia="en-GB"/>
              </w:rPr>
              <w:t>Quick Ratio</w:t>
            </w:r>
          </w:p>
        </w:tc>
        <w:tc>
          <w:tcPr>
            <w:tcW w:w="3889" w:type="dxa"/>
          </w:tcPr>
          <w:p w14:paraId="7FF5C98A" w14:textId="4ED05D6A" w:rsidR="00586C40" w:rsidRPr="00D25BE7" w:rsidRDefault="00586C40" w:rsidP="00586C40">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olor w:val="000000" w:themeColor="text1"/>
                <w:sz w:val="20"/>
                <w:lang w:val="en-GB"/>
              </w:rPr>
              <w:t>Provides a measure of liquidity or cash provision to meet supplier, employee and other operating payments in an on-going and timely manner based on conversion of the most liquid current assets (cash, receivables,) to cash</w:t>
            </w:r>
          </w:p>
        </w:tc>
        <w:tc>
          <w:tcPr>
            <w:tcW w:w="3199" w:type="dxa"/>
          </w:tcPr>
          <w:p w14:paraId="6A0C0534" w14:textId="77777777" w:rsidR="00586C40" w:rsidRPr="00D25BE7" w:rsidRDefault="00586C40" w:rsidP="00586C40">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olor w:val="000000" w:themeColor="text1"/>
                <w:sz w:val="20"/>
                <w:lang w:val="en-GB"/>
              </w:rPr>
              <w:t>Total [most liquid – cash, receivables] current assets expressed as a proportion of current liabilities (amounts due)</w:t>
            </w:r>
          </w:p>
          <w:p w14:paraId="635493BF" w14:textId="77777777" w:rsidR="00727D9D" w:rsidRPr="00D25BE7" w:rsidRDefault="00727D9D" w:rsidP="00586C40">
            <w:pPr>
              <w:pStyle w:val="ListParagraph"/>
              <w:numPr>
                <w:ilvl w:val="0"/>
                <w:numId w:val="0"/>
              </w:numPr>
              <w:spacing w:before="120" w:after="0"/>
              <w:rPr>
                <w:rFonts w:asciiTheme="minorHAnsi" w:hAnsiTheme="minorHAnsi"/>
                <w:color w:val="000000" w:themeColor="text1"/>
                <w:sz w:val="20"/>
                <w:lang w:val="en-GB"/>
              </w:rPr>
            </w:pPr>
          </w:p>
          <w:p w14:paraId="1E776388" w14:textId="77777777" w:rsidR="00727D9D" w:rsidRPr="00D25BE7" w:rsidRDefault="00727D9D" w:rsidP="00727D9D">
            <w:pPr>
              <w:rPr>
                <w:rFonts w:asciiTheme="minorHAnsi" w:hAnsiTheme="minorHAnsi"/>
                <w:sz w:val="20"/>
                <w:u w:val="single"/>
              </w:rPr>
            </w:pPr>
            <w:r w:rsidRPr="00D25BE7">
              <w:rPr>
                <w:rFonts w:asciiTheme="minorHAnsi" w:hAnsiTheme="minorHAnsi"/>
                <w:sz w:val="20"/>
                <w:u w:val="single"/>
              </w:rPr>
              <w:t>Current assets - Inventory</w:t>
            </w:r>
          </w:p>
          <w:p w14:paraId="3E2FEA0B" w14:textId="37AA7C7A" w:rsidR="00727D9D" w:rsidRPr="00D25BE7" w:rsidRDefault="00727D9D" w:rsidP="00727D9D">
            <w:pPr>
              <w:jc w:val="left"/>
              <w:rPr>
                <w:rFonts w:asciiTheme="minorHAnsi" w:hAnsiTheme="minorHAnsi"/>
                <w:sz w:val="20"/>
              </w:rPr>
            </w:pPr>
            <w:r w:rsidRPr="00D25BE7">
              <w:rPr>
                <w:rFonts w:asciiTheme="minorHAnsi" w:hAnsiTheme="minorHAnsi"/>
                <w:sz w:val="20"/>
              </w:rPr>
              <w:t xml:space="preserve">         Current liabilities</w:t>
            </w:r>
          </w:p>
          <w:p w14:paraId="1341B656" w14:textId="3EB4EE8A" w:rsidR="00727D9D" w:rsidRPr="00D25BE7" w:rsidRDefault="00727D9D" w:rsidP="00586C40">
            <w:pPr>
              <w:pStyle w:val="ListParagraph"/>
              <w:numPr>
                <w:ilvl w:val="0"/>
                <w:numId w:val="0"/>
              </w:numPr>
              <w:spacing w:before="120" w:after="0"/>
              <w:rPr>
                <w:rFonts w:asciiTheme="minorHAnsi" w:hAnsiTheme="minorHAnsi"/>
                <w:color w:val="000000" w:themeColor="text1"/>
                <w:sz w:val="20"/>
                <w:lang w:val="en-GB"/>
              </w:rPr>
            </w:pPr>
          </w:p>
        </w:tc>
      </w:tr>
      <w:tr w:rsidR="00586C40" w:rsidRPr="001E16D5" w14:paraId="446D333D" w14:textId="77777777" w:rsidTr="00652D3B">
        <w:tc>
          <w:tcPr>
            <w:tcW w:w="1837" w:type="dxa"/>
            <w:vAlign w:val="center"/>
          </w:tcPr>
          <w:p w14:paraId="01F16F41" w14:textId="631EC72A" w:rsidR="00586C40" w:rsidRPr="00D25BE7" w:rsidRDefault="00586C40" w:rsidP="00586C40">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stheme="minorHAnsi"/>
                <w:sz w:val="20"/>
                <w:lang w:eastAsia="en-GB"/>
              </w:rPr>
              <w:lastRenderedPageBreak/>
              <w:t>Accounts Receivable Days</w:t>
            </w:r>
          </w:p>
        </w:tc>
        <w:tc>
          <w:tcPr>
            <w:tcW w:w="3889" w:type="dxa"/>
          </w:tcPr>
          <w:p w14:paraId="2645B4CE" w14:textId="4E70C7E9" w:rsidR="00586C40" w:rsidRPr="00D25BE7" w:rsidRDefault="00586C40" w:rsidP="00586C40">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olor w:val="000000" w:themeColor="text1"/>
                <w:sz w:val="20"/>
                <w:lang w:val="en-GB"/>
              </w:rPr>
              <w:t>Provides a measure of efficiency in collecting revenue from credit customers and maintaining liquidity rates</w:t>
            </w:r>
          </w:p>
        </w:tc>
        <w:tc>
          <w:tcPr>
            <w:tcW w:w="3199" w:type="dxa"/>
          </w:tcPr>
          <w:p w14:paraId="5F5A7A56" w14:textId="77777777" w:rsidR="000459F5" w:rsidRPr="00D25BE7" w:rsidRDefault="00126FB0" w:rsidP="00586C40">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olor w:val="000000" w:themeColor="text1"/>
                <w:sz w:val="20"/>
                <w:lang w:val="en-GB"/>
              </w:rPr>
              <w:t xml:space="preserve">Value of trade receivables as a proportion of </w:t>
            </w:r>
            <w:r w:rsidR="000459F5" w:rsidRPr="00D25BE7">
              <w:rPr>
                <w:rFonts w:asciiTheme="minorHAnsi" w:hAnsiTheme="minorHAnsi"/>
                <w:color w:val="000000" w:themeColor="text1"/>
                <w:sz w:val="20"/>
                <w:lang w:val="en-GB"/>
              </w:rPr>
              <w:t xml:space="preserve">(credit) </w:t>
            </w:r>
            <w:r w:rsidRPr="00D25BE7">
              <w:rPr>
                <w:rFonts w:asciiTheme="minorHAnsi" w:hAnsiTheme="minorHAnsi"/>
                <w:color w:val="000000" w:themeColor="text1"/>
                <w:sz w:val="20"/>
                <w:lang w:val="en-GB"/>
              </w:rPr>
              <w:t>revenue</w:t>
            </w:r>
            <w:r w:rsidR="000459F5" w:rsidRPr="00D25BE7">
              <w:rPr>
                <w:rFonts w:asciiTheme="minorHAnsi" w:hAnsiTheme="minorHAnsi"/>
                <w:color w:val="000000" w:themeColor="text1"/>
                <w:sz w:val="20"/>
                <w:lang w:val="en-GB"/>
              </w:rPr>
              <w:t>, x 365 to express in No. of days</w:t>
            </w:r>
          </w:p>
          <w:p w14:paraId="752ECED3" w14:textId="77777777" w:rsidR="000459F5" w:rsidRPr="00D25BE7" w:rsidRDefault="000459F5" w:rsidP="00586C40">
            <w:pPr>
              <w:pStyle w:val="ListParagraph"/>
              <w:numPr>
                <w:ilvl w:val="0"/>
                <w:numId w:val="0"/>
              </w:numPr>
              <w:spacing w:before="120" w:after="0"/>
              <w:rPr>
                <w:rFonts w:asciiTheme="minorHAnsi" w:hAnsiTheme="minorHAnsi"/>
                <w:color w:val="000000" w:themeColor="text1"/>
                <w:sz w:val="20"/>
                <w:lang w:val="en-GB"/>
              </w:rPr>
            </w:pPr>
          </w:p>
          <w:p w14:paraId="2B95A00C" w14:textId="77777777" w:rsidR="00F635B1" w:rsidRPr="00D25BE7" w:rsidRDefault="00F635B1" w:rsidP="000459F5">
            <w:pPr>
              <w:spacing w:before="120"/>
              <w:rPr>
                <w:rFonts w:asciiTheme="minorHAnsi" w:hAnsiTheme="minorHAnsi"/>
                <w:sz w:val="20"/>
                <w:u w:val="single"/>
              </w:rPr>
            </w:pPr>
          </w:p>
          <w:p w14:paraId="6EDCCF6D" w14:textId="3B7C5354" w:rsidR="000459F5" w:rsidRPr="00D25BE7" w:rsidRDefault="000459F5" w:rsidP="000459F5">
            <w:pPr>
              <w:rPr>
                <w:rFonts w:asciiTheme="minorHAnsi" w:hAnsiTheme="minorHAnsi"/>
                <w:sz w:val="20"/>
                <w:u w:val="single"/>
              </w:rPr>
            </w:pPr>
            <w:r w:rsidRPr="00D25BE7">
              <w:rPr>
                <w:rFonts w:asciiTheme="minorHAnsi" w:hAnsiTheme="minorHAnsi"/>
                <w:sz w:val="20"/>
                <w:u w:val="single"/>
              </w:rPr>
              <w:t>Accounts receivable x 365</w:t>
            </w:r>
          </w:p>
          <w:p w14:paraId="5A39F810" w14:textId="06FA1FC6" w:rsidR="000459F5" w:rsidRPr="00D25BE7" w:rsidRDefault="000459F5" w:rsidP="000459F5">
            <w:pPr>
              <w:rPr>
                <w:rFonts w:asciiTheme="minorHAnsi" w:hAnsiTheme="minorHAnsi"/>
                <w:sz w:val="20"/>
              </w:rPr>
            </w:pPr>
            <w:r w:rsidRPr="00D25BE7">
              <w:rPr>
                <w:rFonts w:asciiTheme="minorHAnsi" w:hAnsiTheme="minorHAnsi"/>
                <w:sz w:val="20"/>
              </w:rPr>
              <w:t xml:space="preserve">            Credit Sales</w:t>
            </w:r>
          </w:p>
          <w:p w14:paraId="5B361269" w14:textId="1FC16B31" w:rsidR="00586C40" w:rsidRPr="00D25BE7" w:rsidRDefault="00126FB0" w:rsidP="00586C40">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olor w:val="000000" w:themeColor="text1"/>
                <w:sz w:val="20"/>
                <w:lang w:val="en-GB"/>
              </w:rPr>
              <w:t xml:space="preserve"> </w:t>
            </w:r>
          </w:p>
        </w:tc>
      </w:tr>
      <w:tr w:rsidR="00586C40" w:rsidRPr="001E16D5" w14:paraId="587F2A50" w14:textId="77777777" w:rsidTr="00652D3B">
        <w:tc>
          <w:tcPr>
            <w:tcW w:w="1837" w:type="dxa"/>
            <w:vAlign w:val="center"/>
          </w:tcPr>
          <w:p w14:paraId="2A420544" w14:textId="2ECB7AD0" w:rsidR="00586C40" w:rsidRPr="00D25BE7" w:rsidRDefault="00586C40" w:rsidP="00586C40">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stheme="minorHAnsi"/>
                <w:sz w:val="20"/>
                <w:lang w:eastAsia="en-GB"/>
              </w:rPr>
              <w:t>Assets Turnover</w:t>
            </w:r>
          </w:p>
        </w:tc>
        <w:tc>
          <w:tcPr>
            <w:tcW w:w="3889" w:type="dxa"/>
          </w:tcPr>
          <w:p w14:paraId="41D0CC42" w14:textId="66C84BD5" w:rsidR="00586C40" w:rsidRPr="00D25BE7" w:rsidRDefault="00586C40" w:rsidP="00586C40">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olor w:val="000000" w:themeColor="text1"/>
                <w:sz w:val="20"/>
                <w:lang w:val="en-GB"/>
              </w:rPr>
              <w:t>Provides a measure of efficiency in the use of assets to generate revenue for the business</w:t>
            </w:r>
          </w:p>
        </w:tc>
        <w:tc>
          <w:tcPr>
            <w:tcW w:w="3199" w:type="dxa"/>
          </w:tcPr>
          <w:p w14:paraId="4BFF2FC2" w14:textId="77777777" w:rsidR="00586C40" w:rsidRPr="00D25BE7" w:rsidRDefault="00652D3B" w:rsidP="00586C40">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olor w:val="000000" w:themeColor="text1"/>
                <w:sz w:val="20"/>
                <w:lang w:val="en-GB"/>
              </w:rPr>
              <w:t>Revenue divided by total assets</w:t>
            </w:r>
          </w:p>
          <w:p w14:paraId="54E63289" w14:textId="77777777" w:rsidR="00652D3B" w:rsidRPr="00D25BE7" w:rsidRDefault="00652D3B" w:rsidP="00586C40">
            <w:pPr>
              <w:pStyle w:val="ListParagraph"/>
              <w:numPr>
                <w:ilvl w:val="0"/>
                <w:numId w:val="0"/>
              </w:numPr>
              <w:spacing w:before="120" w:after="0"/>
              <w:rPr>
                <w:rFonts w:asciiTheme="minorHAnsi" w:hAnsiTheme="minorHAnsi"/>
                <w:color w:val="000000" w:themeColor="text1"/>
                <w:sz w:val="20"/>
                <w:lang w:val="en-GB"/>
              </w:rPr>
            </w:pPr>
          </w:p>
          <w:p w14:paraId="5CEE0DCC" w14:textId="5F3A15B3" w:rsidR="00652D3B" w:rsidRPr="00D25BE7" w:rsidRDefault="00652D3B" w:rsidP="00652D3B">
            <w:pPr>
              <w:rPr>
                <w:rFonts w:asciiTheme="minorHAnsi" w:hAnsiTheme="minorHAnsi"/>
                <w:sz w:val="20"/>
                <w:u w:val="single"/>
              </w:rPr>
            </w:pPr>
            <w:r w:rsidRPr="00D25BE7">
              <w:rPr>
                <w:rFonts w:asciiTheme="minorHAnsi" w:hAnsiTheme="minorHAnsi"/>
                <w:sz w:val="20"/>
                <w:u w:val="single"/>
              </w:rPr>
              <w:t xml:space="preserve">  Revenue</w:t>
            </w:r>
          </w:p>
          <w:p w14:paraId="5670F8E6" w14:textId="16546FAC" w:rsidR="00652D3B" w:rsidRPr="00D25BE7" w:rsidRDefault="00652D3B" w:rsidP="00652D3B">
            <w:pPr>
              <w:rPr>
                <w:rFonts w:asciiTheme="minorHAnsi" w:hAnsiTheme="minorHAnsi"/>
                <w:sz w:val="20"/>
              </w:rPr>
            </w:pPr>
            <w:r w:rsidRPr="00D25BE7">
              <w:rPr>
                <w:rFonts w:asciiTheme="minorHAnsi" w:hAnsiTheme="minorHAnsi"/>
                <w:sz w:val="20"/>
              </w:rPr>
              <w:t>Total Assets</w:t>
            </w:r>
          </w:p>
          <w:p w14:paraId="0238CF8E" w14:textId="1E2D99C6" w:rsidR="00652D3B" w:rsidRPr="00D25BE7" w:rsidRDefault="00652D3B" w:rsidP="00586C40">
            <w:pPr>
              <w:pStyle w:val="ListParagraph"/>
              <w:numPr>
                <w:ilvl w:val="0"/>
                <w:numId w:val="0"/>
              </w:numPr>
              <w:spacing w:before="120" w:after="0"/>
              <w:rPr>
                <w:rFonts w:asciiTheme="minorHAnsi" w:hAnsiTheme="minorHAnsi"/>
                <w:color w:val="000000" w:themeColor="text1"/>
                <w:sz w:val="20"/>
                <w:lang w:val="en-GB"/>
              </w:rPr>
            </w:pPr>
          </w:p>
        </w:tc>
      </w:tr>
      <w:tr w:rsidR="00F635B1" w:rsidRPr="001E16D5" w14:paraId="209AD324" w14:textId="77777777" w:rsidTr="00652D3B">
        <w:tc>
          <w:tcPr>
            <w:tcW w:w="1837" w:type="dxa"/>
            <w:vMerge w:val="restart"/>
            <w:vAlign w:val="center"/>
          </w:tcPr>
          <w:p w14:paraId="48B845BE" w14:textId="4F334E42" w:rsidR="00F635B1" w:rsidRPr="00D25BE7" w:rsidRDefault="00F635B1" w:rsidP="00586C40">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stheme="minorHAnsi"/>
                <w:sz w:val="20"/>
                <w:lang w:eastAsia="en-GB"/>
              </w:rPr>
              <w:t>Debt / Equity Ratio</w:t>
            </w:r>
          </w:p>
        </w:tc>
        <w:tc>
          <w:tcPr>
            <w:tcW w:w="3889" w:type="dxa"/>
          </w:tcPr>
          <w:p w14:paraId="605876BF" w14:textId="6575EDE7" w:rsidR="00F635B1" w:rsidRPr="00D25BE7" w:rsidRDefault="00F635B1" w:rsidP="00586C40">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olor w:val="000000" w:themeColor="text1"/>
                <w:sz w:val="20"/>
                <w:lang w:val="en-GB"/>
              </w:rPr>
              <w:t>A key financing indicator to illustrate the proportion of business capital financed by debt in relation to equity</w:t>
            </w:r>
          </w:p>
        </w:tc>
        <w:tc>
          <w:tcPr>
            <w:tcW w:w="3199" w:type="dxa"/>
          </w:tcPr>
          <w:p w14:paraId="4DAC03AB" w14:textId="77777777" w:rsidR="00F635B1" w:rsidRPr="00D25BE7" w:rsidRDefault="00F635B1" w:rsidP="00586C40">
            <w:pPr>
              <w:pStyle w:val="ListParagraph"/>
              <w:numPr>
                <w:ilvl w:val="0"/>
                <w:numId w:val="0"/>
              </w:numPr>
              <w:spacing w:after="0"/>
              <w:rPr>
                <w:rFonts w:asciiTheme="minorHAnsi" w:hAnsiTheme="minorHAnsi"/>
                <w:color w:val="000000" w:themeColor="text1"/>
                <w:sz w:val="20"/>
                <w:lang w:val="en-GB"/>
              </w:rPr>
            </w:pPr>
            <w:r w:rsidRPr="00D25BE7">
              <w:rPr>
                <w:rFonts w:asciiTheme="minorHAnsi" w:hAnsiTheme="minorHAnsi"/>
                <w:color w:val="000000" w:themeColor="text1"/>
                <w:sz w:val="20"/>
                <w:lang w:val="en-GB"/>
              </w:rPr>
              <w:t>Interest-bearing debt expressed as a proportion of total equity</w:t>
            </w:r>
          </w:p>
          <w:p w14:paraId="042068ED" w14:textId="77777777" w:rsidR="00F635B1" w:rsidRPr="00D25BE7" w:rsidRDefault="00F635B1" w:rsidP="00586C40">
            <w:pPr>
              <w:pStyle w:val="ListParagraph"/>
              <w:numPr>
                <w:ilvl w:val="0"/>
                <w:numId w:val="0"/>
              </w:numPr>
              <w:spacing w:before="120" w:after="0"/>
              <w:rPr>
                <w:rFonts w:asciiTheme="minorHAnsi" w:hAnsiTheme="minorHAnsi"/>
                <w:color w:val="000000" w:themeColor="text1"/>
                <w:sz w:val="20"/>
                <w:lang w:val="en-GB"/>
              </w:rPr>
            </w:pPr>
          </w:p>
          <w:p w14:paraId="3CD05D5F" w14:textId="52E05B6E" w:rsidR="00F635B1" w:rsidRPr="00D25BE7" w:rsidRDefault="00F635B1" w:rsidP="00586C40">
            <w:pPr>
              <w:pStyle w:val="ListParagraph"/>
              <w:numPr>
                <w:ilvl w:val="0"/>
                <w:numId w:val="0"/>
              </w:numPr>
              <w:spacing w:before="120" w:after="0"/>
              <w:rPr>
                <w:rFonts w:asciiTheme="minorHAnsi" w:hAnsiTheme="minorHAnsi"/>
                <w:color w:val="000000" w:themeColor="text1"/>
                <w:sz w:val="20"/>
                <w:lang w:val="en-GB"/>
              </w:rPr>
            </w:pPr>
          </w:p>
        </w:tc>
      </w:tr>
      <w:tr w:rsidR="00F635B1" w:rsidRPr="001E16D5" w14:paraId="5A8507F3" w14:textId="77777777" w:rsidTr="00CC44E3">
        <w:tc>
          <w:tcPr>
            <w:tcW w:w="1837" w:type="dxa"/>
            <w:vMerge/>
            <w:vAlign w:val="center"/>
          </w:tcPr>
          <w:p w14:paraId="071C13CC" w14:textId="77777777" w:rsidR="00F635B1" w:rsidRPr="00D25BE7" w:rsidRDefault="00F635B1" w:rsidP="00586C40">
            <w:pPr>
              <w:pStyle w:val="ListParagraph"/>
              <w:numPr>
                <w:ilvl w:val="0"/>
                <w:numId w:val="0"/>
              </w:numPr>
              <w:spacing w:before="120" w:after="0"/>
              <w:rPr>
                <w:rFonts w:asciiTheme="minorHAnsi" w:hAnsiTheme="minorHAnsi" w:cstheme="minorHAnsi"/>
                <w:sz w:val="20"/>
                <w:lang w:eastAsia="en-GB"/>
              </w:rPr>
            </w:pPr>
          </w:p>
        </w:tc>
        <w:tc>
          <w:tcPr>
            <w:tcW w:w="7088" w:type="dxa"/>
            <w:gridSpan w:val="2"/>
          </w:tcPr>
          <w:p w14:paraId="0DF744EE" w14:textId="77777777" w:rsidR="00F635B1" w:rsidRPr="00D25BE7" w:rsidRDefault="00F635B1" w:rsidP="00586C40">
            <w:pPr>
              <w:pStyle w:val="ListParagraph"/>
              <w:numPr>
                <w:ilvl w:val="0"/>
                <w:numId w:val="0"/>
              </w:numPr>
              <w:spacing w:before="120" w:after="0"/>
              <w:rPr>
                <w:rFonts w:asciiTheme="minorHAnsi" w:hAnsiTheme="minorHAnsi"/>
                <w:color w:val="000000" w:themeColor="text1"/>
                <w:sz w:val="20"/>
                <w:lang w:val="en-GB"/>
              </w:rPr>
            </w:pPr>
          </w:p>
          <w:p w14:paraId="3B69EDEF" w14:textId="77777777" w:rsidR="00F635B1" w:rsidRPr="00D25BE7" w:rsidRDefault="00F635B1" w:rsidP="00F635B1">
            <w:pPr>
              <w:pStyle w:val="ListParagraph"/>
              <w:numPr>
                <w:ilvl w:val="0"/>
                <w:numId w:val="0"/>
              </w:numPr>
              <w:spacing w:before="120" w:after="0"/>
              <w:rPr>
                <w:rFonts w:asciiTheme="minorHAnsi" w:hAnsiTheme="minorHAnsi"/>
                <w:color w:val="000000" w:themeColor="text1"/>
                <w:sz w:val="20"/>
                <w:lang w:val="en-GB"/>
              </w:rPr>
            </w:pPr>
          </w:p>
          <w:p w14:paraId="69D9B6D9" w14:textId="12E44064" w:rsidR="00F635B1" w:rsidRPr="00D25BE7" w:rsidRDefault="00F635B1" w:rsidP="00F635B1">
            <w:pPr>
              <w:rPr>
                <w:rFonts w:asciiTheme="minorHAnsi" w:hAnsiTheme="minorHAnsi"/>
                <w:sz w:val="20"/>
                <w:u w:val="single"/>
              </w:rPr>
            </w:pPr>
            <w:r w:rsidRPr="00D25BE7">
              <w:rPr>
                <w:rFonts w:asciiTheme="minorHAnsi" w:hAnsiTheme="minorHAnsi"/>
                <w:sz w:val="20"/>
                <w:u w:val="single"/>
              </w:rPr>
              <w:t>Interest-Bearing Debt (Current + Non-Current)</w:t>
            </w:r>
          </w:p>
          <w:p w14:paraId="6C169CC5" w14:textId="7215BDE4" w:rsidR="00F635B1" w:rsidRPr="00D25BE7" w:rsidRDefault="00F635B1" w:rsidP="00F635B1">
            <w:pPr>
              <w:rPr>
                <w:rFonts w:asciiTheme="minorHAnsi" w:hAnsiTheme="minorHAnsi"/>
                <w:sz w:val="20"/>
              </w:rPr>
            </w:pPr>
            <w:r w:rsidRPr="00D25BE7">
              <w:rPr>
                <w:rFonts w:asciiTheme="minorHAnsi" w:hAnsiTheme="minorHAnsi"/>
                <w:sz w:val="20"/>
              </w:rPr>
              <w:t xml:space="preserve">                       Total Equity</w:t>
            </w:r>
          </w:p>
          <w:p w14:paraId="6416D20C" w14:textId="621C2079" w:rsidR="00F635B1" w:rsidRPr="00D25BE7" w:rsidRDefault="00F635B1" w:rsidP="00586C40">
            <w:pPr>
              <w:pStyle w:val="ListParagraph"/>
              <w:numPr>
                <w:ilvl w:val="0"/>
                <w:numId w:val="0"/>
              </w:numPr>
              <w:spacing w:before="120" w:after="0"/>
              <w:rPr>
                <w:rFonts w:asciiTheme="minorHAnsi" w:hAnsiTheme="minorHAnsi"/>
                <w:color w:val="000000" w:themeColor="text1"/>
                <w:sz w:val="20"/>
                <w:lang w:val="en-GB"/>
              </w:rPr>
            </w:pPr>
          </w:p>
        </w:tc>
      </w:tr>
    </w:tbl>
    <w:p w14:paraId="74367B9A" w14:textId="77777777" w:rsidR="00636E72" w:rsidRPr="00D25BE7" w:rsidRDefault="00636E72" w:rsidP="00636E72">
      <w:pPr>
        <w:rPr>
          <w:rFonts w:asciiTheme="minorHAnsi" w:hAnsiTheme="minorHAnsi"/>
          <w:b/>
        </w:rPr>
      </w:pPr>
    </w:p>
    <w:p w14:paraId="0C21E742" w14:textId="797E4FC1" w:rsidR="002E7ADE" w:rsidRPr="00D25BE7" w:rsidRDefault="002E7ADE" w:rsidP="000D1DDC">
      <w:pPr>
        <w:rPr>
          <w:rFonts w:asciiTheme="minorHAnsi" w:hAnsiTheme="minorHAnsi"/>
          <w:lang w:val="en-GB"/>
        </w:rPr>
      </w:pPr>
    </w:p>
    <w:p w14:paraId="3F3D4E7B" w14:textId="77777777" w:rsidR="002E7ADE" w:rsidRPr="00D25BE7" w:rsidRDefault="002E7ADE" w:rsidP="003A50F8">
      <w:pPr>
        <w:rPr>
          <w:rFonts w:asciiTheme="minorHAnsi" w:hAnsiTheme="minorHAnsi"/>
          <w:lang w:val="en-GB"/>
        </w:rPr>
      </w:pPr>
    </w:p>
    <w:sectPr w:rsidR="002E7ADE" w:rsidRPr="00D25BE7" w:rsidSect="000E758E">
      <w:type w:val="continuous"/>
      <w:pgSz w:w="11900" w:h="16840"/>
      <w:pgMar w:top="1440" w:right="1531" w:bottom="1440" w:left="153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26D2C" w14:textId="77777777" w:rsidR="00C70375" w:rsidRDefault="00C70375" w:rsidP="00AB32E6">
      <w:r>
        <w:separator/>
      </w:r>
    </w:p>
  </w:endnote>
  <w:endnote w:type="continuationSeparator" w:id="0">
    <w:p w14:paraId="2334F970" w14:textId="77777777" w:rsidR="00C70375" w:rsidRDefault="00C70375" w:rsidP="00AB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Verdana Bold">
    <w:panose1 w:val="020B0804030504040204"/>
    <w:charset w:val="00"/>
    <w:family w:val="auto"/>
    <w:pitch w:val="variable"/>
    <w:sig w:usb0="00000003" w:usb1="00000000" w:usb2="00000000" w:usb3="00000000" w:csb0="00000001" w:csb1="00000000"/>
  </w:font>
  <w:font w:name="Times Roman">
    <w:charset w:val="00"/>
    <w:family w:val="auto"/>
    <w:pitch w:val="variable"/>
    <w:sig w:usb0="E00002FF" w:usb1="5000205A" w:usb2="00000000" w:usb3="00000000" w:csb0="0000019F" w:csb1="00000000"/>
  </w:font>
  <w:font w:name="CenturyGothic">
    <w:altName w:val="Arial Unicode MS"/>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1313438"/>
      <w:docPartObj>
        <w:docPartGallery w:val="Page Numbers (Bottom of Page)"/>
        <w:docPartUnique/>
      </w:docPartObj>
    </w:sdtPr>
    <w:sdtEndPr>
      <w:rPr>
        <w:rStyle w:val="PageNumber"/>
      </w:rPr>
    </w:sdtEndPr>
    <w:sdtContent>
      <w:p w14:paraId="3B5A3A28" w14:textId="77777777" w:rsidR="004503F3" w:rsidRDefault="004503F3" w:rsidP="00250D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5F4B7" w14:textId="77777777" w:rsidR="004503F3" w:rsidRDefault="004503F3" w:rsidP="00250D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heme="minorHAnsi" w:hAnsiTheme="minorHAnsi"/>
        <w:szCs w:val="22"/>
      </w:rPr>
      <w:id w:val="1955590097"/>
      <w:docPartObj>
        <w:docPartGallery w:val="Page Numbers (Bottom of Page)"/>
        <w:docPartUnique/>
      </w:docPartObj>
    </w:sdtPr>
    <w:sdtEndPr>
      <w:rPr>
        <w:rStyle w:val="PageNumber"/>
      </w:rPr>
    </w:sdtEndPr>
    <w:sdtContent>
      <w:p w14:paraId="548E93A6" w14:textId="77777777" w:rsidR="004503F3" w:rsidRPr="00A11CEC" w:rsidRDefault="004503F3" w:rsidP="00A11CEC">
        <w:pPr>
          <w:pStyle w:val="Footer"/>
          <w:framePr w:wrap="none" w:vAnchor="text" w:hAnchor="page" w:x="10589" w:y="31"/>
          <w:rPr>
            <w:rStyle w:val="PageNumber"/>
            <w:rFonts w:asciiTheme="minorHAnsi" w:hAnsiTheme="minorHAnsi"/>
            <w:szCs w:val="22"/>
          </w:rPr>
        </w:pPr>
        <w:r w:rsidRPr="00A11CEC">
          <w:rPr>
            <w:rStyle w:val="PageNumber"/>
            <w:rFonts w:asciiTheme="minorHAnsi" w:hAnsiTheme="minorHAnsi"/>
            <w:szCs w:val="22"/>
          </w:rPr>
          <w:fldChar w:fldCharType="begin"/>
        </w:r>
        <w:r w:rsidRPr="00A11CEC">
          <w:rPr>
            <w:rStyle w:val="PageNumber"/>
            <w:rFonts w:asciiTheme="minorHAnsi" w:hAnsiTheme="minorHAnsi"/>
            <w:szCs w:val="22"/>
          </w:rPr>
          <w:instrText xml:space="preserve"> PAGE </w:instrText>
        </w:r>
        <w:r w:rsidRPr="00A11CEC">
          <w:rPr>
            <w:rStyle w:val="PageNumber"/>
            <w:rFonts w:asciiTheme="minorHAnsi" w:hAnsiTheme="minorHAnsi"/>
            <w:szCs w:val="22"/>
          </w:rPr>
          <w:fldChar w:fldCharType="separate"/>
        </w:r>
        <w:r w:rsidR="005E182C">
          <w:rPr>
            <w:rStyle w:val="PageNumber"/>
            <w:rFonts w:asciiTheme="minorHAnsi" w:hAnsiTheme="minorHAnsi"/>
            <w:noProof/>
            <w:szCs w:val="22"/>
          </w:rPr>
          <w:t>2</w:t>
        </w:r>
        <w:r w:rsidRPr="00A11CEC">
          <w:rPr>
            <w:rStyle w:val="PageNumber"/>
            <w:rFonts w:asciiTheme="minorHAnsi" w:hAnsiTheme="minorHAnsi"/>
            <w:szCs w:val="22"/>
          </w:rPr>
          <w:fldChar w:fldCharType="end"/>
        </w:r>
      </w:p>
    </w:sdtContent>
  </w:sdt>
  <w:p w14:paraId="7170F31C" w14:textId="1C2152AA" w:rsidR="004503F3" w:rsidRPr="00A11CEC" w:rsidRDefault="004503F3" w:rsidP="00A11CEC">
    <w:pPr>
      <w:pStyle w:val="Footer"/>
      <w:tabs>
        <w:tab w:val="clear" w:pos="4320"/>
        <w:tab w:val="clear" w:pos="8640"/>
        <w:tab w:val="left" w:pos="3840"/>
      </w:tabs>
      <w:ind w:right="360"/>
      <w:jc w:val="left"/>
      <w:rPr>
        <w:rFonts w:asciiTheme="minorHAnsi" w:hAnsiTheme="minorHAnsi"/>
        <w:i/>
        <w:sz w:val="20"/>
      </w:rPr>
    </w:pPr>
    <w:r w:rsidRPr="00A11CEC">
      <w:rPr>
        <w:rFonts w:asciiTheme="minorHAnsi" w:hAnsiTheme="minorHAnsi"/>
        <w:i/>
        <w:sz w:val="20"/>
      </w:rPr>
      <w:t>State-owned Enterprises Annual Report Year to March 2018</w:t>
    </w:r>
  </w:p>
  <w:p w14:paraId="152B65F8" w14:textId="77777777" w:rsidR="004503F3" w:rsidRDefault="004503F3" w:rsidP="00250D0A">
    <w:pPr>
      <w:pStyle w:val="Footer"/>
      <w:tabs>
        <w:tab w:val="clear" w:pos="4320"/>
        <w:tab w:val="clear" w:pos="8640"/>
        <w:tab w:val="left" w:pos="3840"/>
      </w:tabs>
      <w:ind w:right="360"/>
    </w:pPr>
  </w:p>
  <w:p w14:paraId="3CF3AB0B" w14:textId="77777777" w:rsidR="004503F3" w:rsidRDefault="004503F3" w:rsidP="00250D0A">
    <w:pPr>
      <w:pStyle w:val="Footer"/>
      <w:tabs>
        <w:tab w:val="clear" w:pos="4320"/>
        <w:tab w:val="clear" w:pos="8640"/>
        <w:tab w:val="left" w:pos="384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4F5C6" w14:textId="77777777" w:rsidR="00C70375" w:rsidRDefault="00C70375" w:rsidP="00AB32E6">
      <w:r>
        <w:separator/>
      </w:r>
    </w:p>
  </w:footnote>
  <w:footnote w:type="continuationSeparator" w:id="0">
    <w:p w14:paraId="5280561B" w14:textId="77777777" w:rsidR="00C70375" w:rsidRDefault="00C70375" w:rsidP="00AB32E6">
      <w:r>
        <w:continuationSeparator/>
      </w:r>
    </w:p>
  </w:footnote>
  <w:footnote w:id="1">
    <w:p w14:paraId="7CDE35DF" w14:textId="5AE55AF3" w:rsidR="004503F3" w:rsidRPr="006D1056" w:rsidRDefault="004503F3" w:rsidP="005C7DCB">
      <w:pPr>
        <w:rPr>
          <w:sz w:val="20"/>
          <w:lang w:val="en-GB"/>
        </w:rPr>
      </w:pPr>
      <w:r w:rsidRPr="006D1056">
        <w:rPr>
          <w:rStyle w:val="FootnoteReference"/>
          <w:rFonts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
      </w:r>
      <w:r w:rsidRPr="006D1056">
        <w:rPr>
          <w:sz w:val="20"/>
        </w:rPr>
        <w:t xml:space="preserve"> </w:t>
      </w:r>
      <w:r w:rsidRPr="00A11CEC">
        <w:rPr>
          <w:rFonts w:asciiTheme="minorHAnsi" w:hAnsiTheme="minorHAnsi"/>
          <w:sz w:val="20"/>
          <w:lang w:val="en-AU"/>
        </w:rPr>
        <w:t xml:space="preserve">As undertaken as a component of the World Bank funded TA: </w:t>
      </w:r>
      <w:r w:rsidRPr="00A11CEC">
        <w:rPr>
          <w:rFonts w:asciiTheme="minorHAnsi" w:hAnsiTheme="minorHAnsi"/>
          <w:sz w:val="20"/>
          <w:lang w:val="en-GB"/>
        </w:rPr>
        <w:t>Public Sector Modernisation Project (PSMP), Technical Assistance on State Owned Enterprises, implemented by UNICON (UK) Limited</w:t>
      </w:r>
      <w:r w:rsidRPr="006D1056">
        <w:rPr>
          <w:sz w:val="20"/>
          <w:lang w:val="en-GB"/>
        </w:rPr>
        <w:t xml:space="preserve">. </w:t>
      </w:r>
    </w:p>
  </w:footnote>
  <w:footnote w:id="2">
    <w:p w14:paraId="04BEFE6B" w14:textId="6DE2C06C" w:rsidR="004503F3" w:rsidRPr="00A11CEC" w:rsidRDefault="004503F3">
      <w:pPr>
        <w:pStyle w:val="FootnoteText"/>
        <w:rPr>
          <w:rFonts w:asciiTheme="minorHAnsi" w:hAnsiTheme="minorHAnsi"/>
          <w:lang w:val="en-AU"/>
        </w:rPr>
      </w:pPr>
      <w:r>
        <w:rPr>
          <w:rStyle w:val="FootnoteReference"/>
        </w:rPr>
        <w:footnoteRef/>
      </w:r>
      <w:r>
        <w:t xml:space="preserve"> </w:t>
      </w:r>
      <w:r w:rsidRPr="00A11CEC">
        <w:rPr>
          <w:rFonts w:asciiTheme="minorHAnsi" w:hAnsiTheme="minorHAnsi"/>
        </w:rPr>
        <w:t>PSD continues to have difficulty in obtaining copies of all AFS. In some respects this is a function of the ownership (through line ministries) and reporting mechanisms of SOEs and in other respects non-compliance or non-cooperation by relevant stakeholders..</w:t>
      </w:r>
    </w:p>
  </w:footnote>
  <w:footnote w:id="3">
    <w:p w14:paraId="4ABA69F7" w14:textId="26112BDB" w:rsidR="004503F3" w:rsidRPr="00A11CEC" w:rsidRDefault="004503F3">
      <w:pPr>
        <w:pStyle w:val="FootnoteText"/>
        <w:rPr>
          <w:rFonts w:asciiTheme="minorHAnsi" w:hAnsiTheme="minorHAnsi"/>
          <w:lang w:val="en-AU"/>
        </w:rPr>
      </w:pPr>
      <w:r>
        <w:rPr>
          <w:rStyle w:val="FootnoteReference"/>
        </w:rPr>
        <w:footnoteRef/>
      </w:r>
      <w:r>
        <w:t xml:space="preserve"> </w:t>
      </w:r>
      <w:r w:rsidRPr="00A11CEC">
        <w:rPr>
          <w:rFonts w:asciiTheme="minorHAnsi" w:hAnsiTheme="minorHAnsi"/>
          <w:lang w:val="en-AU"/>
        </w:rPr>
        <w:t>But this is impacted heavily by the size of Letseng Diamonds results</w:t>
      </w:r>
    </w:p>
  </w:footnote>
  <w:footnote w:id="4">
    <w:p w14:paraId="058829D6" w14:textId="27D8B171" w:rsidR="004503F3" w:rsidRPr="00A11CEC" w:rsidRDefault="004503F3" w:rsidP="00C55284">
      <w:pPr>
        <w:pStyle w:val="FootnoteText"/>
        <w:rPr>
          <w:rFonts w:asciiTheme="minorHAnsi" w:hAnsiTheme="minorHAnsi"/>
          <w:lang w:val="en-AU"/>
        </w:rPr>
      </w:pPr>
      <w:r w:rsidRPr="00A11CEC">
        <w:rPr>
          <w:rStyle w:val="FootnoteReference"/>
          <w:rFonts w:asciiTheme="minorHAnsi" w:hAnsiTheme="minorHAnsi"/>
        </w:rPr>
        <w:footnoteRef/>
      </w:r>
      <w:r w:rsidRPr="00A11CEC">
        <w:rPr>
          <w:rFonts w:asciiTheme="minorHAnsi" w:hAnsiTheme="minorHAnsi"/>
        </w:rPr>
        <w:t xml:space="preserve"> </w:t>
      </w:r>
      <w:r w:rsidRPr="00A11CEC">
        <w:rPr>
          <w:rFonts w:asciiTheme="minorHAnsi" w:hAnsiTheme="minorHAnsi" w:cs="Arial"/>
        </w:rPr>
        <w:t>State-owned enterprises in Lesotho: A country policy note. Report ACS19193, World Bank, 30th June 2016</w:t>
      </w:r>
    </w:p>
  </w:footnote>
  <w:footnote w:id="5">
    <w:p w14:paraId="09FF58C6" w14:textId="77777777" w:rsidR="004503F3" w:rsidRPr="00CB7ACC" w:rsidRDefault="004503F3">
      <w:pPr>
        <w:pStyle w:val="FootnoteText"/>
        <w:rPr>
          <w:lang w:val="en-AU"/>
        </w:rPr>
      </w:pPr>
      <w:r>
        <w:rPr>
          <w:rStyle w:val="FootnoteReference"/>
        </w:rPr>
        <w:footnoteRef/>
      </w:r>
      <w:r>
        <w:t xml:space="preserve"> </w:t>
      </w:r>
      <w:r>
        <w:rPr>
          <w:lang w:val="en-AU"/>
        </w:rPr>
        <w:t>Analysing such performances so long following the period is sub-optimal and highlights the need for significantly greater timeliness of reporting and ownership monitoring.</w:t>
      </w:r>
    </w:p>
  </w:footnote>
  <w:footnote w:id="6">
    <w:p w14:paraId="668DBCE0" w14:textId="77777777" w:rsidR="004503F3" w:rsidRPr="00243C32" w:rsidRDefault="004503F3" w:rsidP="004D71A0">
      <w:pPr>
        <w:pStyle w:val="FootnoteText"/>
        <w:rPr>
          <w:rFonts w:asciiTheme="minorHAnsi" w:hAnsiTheme="minorHAnsi"/>
          <w:lang w:val="en-AU"/>
        </w:rPr>
      </w:pPr>
      <w:r>
        <w:rPr>
          <w:rStyle w:val="FootnoteReference"/>
        </w:rPr>
        <w:footnoteRef/>
      </w:r>
      <w:r>
        <w:t xml:space="preserve"> </w:t>
      </w:r>
      <w:r w:rsidRPr="00243C32">
        <w:rPr>
          <w:rFonts w:asciiTheme="minorHAnsi" w:hAnsiTheme="minorHAnsi"/>
          <w:lang w:val="en-AU"/>
        </w:rPr>
        <w:t>GoL Funding is specified under the Lesotho Water &amp; Sewerage Company Order of 1991. The value of the GoL Grants probably includes loan balances as in the table, where it is asserted WASCO is in default. Clearly, further reconciliation is needed in this regard.</w:t>
      </w:r>
    </w:p>
  </w:footnote>
  <w:footnote w:id="7">
    <w:p w14:paraId="4BEB04A8" w14:textId="77777777" w:rsidR="004503F3" w:rsidRPr="00243C32" w:rsidRDefault="004503F3" w:rsidP="00403F02">
      <w:pPr>
        <w:pStyle w:val="FootnoteText"/>
        <w:rPr>
          <w:rFonts w:asciiTheme="minorHAnsi" w:hAnsiTheme="minorHAnsi"/>
        </w:rPr>
      </w:pPr>
      <w:r>
        <w:rPr>
          <w:rStyle w:val="FootnoteReference"/>
        </w:rPr>
        <w:footnoteRef/>
      </w:r>
      <w:r>
        <w:t xml:space="preserve"> </w:t>
      </w:r>
      <w:r w:rsidRPr="00243C32">
        <w:rPr>
          <w:rFonts w:asciiTheme="minorHAnsi" w:hAnsiTheme="minorHAnsi"/>
        </w:rPr>
        <w:t>IMF Kingdom of Lesotho Staff Report for the 2017 Article IV Consultation 31 January 2018</w:t>
      </w:r>
    </w:p>
  </w:footnote>
  <w:footnote w:id="8">
    <w:p w14:paraId="202F8790" w14:textId="1373A414" w:rsidR="004503F3" w:rsidRPr="00324BF9" w:rsidRDefault="004503F3">
      <w:pPr>
        <w:pStyle w:val="FootnoteText"/>
        <w:rPr>
          <w:rFonts w:asciiTheme="minorHAnsi" w:hAnsiTheme="minorHAnsi"/>
          <w:lang w:val="en-AU"/>
        </w:rPr>
      </w:pPr>
      <w:r>
        <w:rPr>
          <w:rStyle w:val="FootnoteReference"/>
        </w:rPr>
        <w:footnoteRef/>
      </w:r>
      <w:r>
        <w:t xml:space="preserve"> </w:t>
      </w:r>
      <w:r w:rsidRPr="00324BF9">
        <w:rPr>
          <w:rFonts w:asciiTheme="minorHAnsi" w:hAnsiTheme="minorHAnsi"/>
          <w:lang w:val="en-AU"/>
        </w:rPr>
        <w:t>Source: Report of the Auditor General for the Year Ended 31 March 2017 (based on MoF Debt Records)</w:t>
      </w:r>
    </w:p>
  </w:footnote>
  <w:footnote w:id="9">
    <w:p w14:paraId="61A5298D" w14:textId="77777777" w:rsidR="004503F3" w:rsidRPr="00243C32" w:rsidRDefault="004503F3" w:rsidP="00062B5C">
      <w:pPr>
        <w:pStyle w:val="FootnoteText"/>
        <w:rPr>
          <w:rFonts w:asciiTheme="minorHAnsi" w:hAnsiTheme="minorHAnsi"/>
        </w:rPr>
      </w:pPr>
      <w:r w:rsidRPr="00243C32">
        <w:rPr>
          <w:rStyle w:val="FootnoteReference"/>
          <w:rFonts w:asciiTheme="minorHAnsi" w:hAnsiTheme="minorHAnsi"/>
        </w:rPr>
        <w:footnoteRef/>
      </w:r>
      <w:r w:rsidRPr="00243C32">
        <w:rPr>
          <w:rStyle w:val="tgc"/>
          <w:rFonts w:asciiTheme="minorHAnsi" w:eastAsia="SimSun" w:hAnsiTheme="minorHAnsi" w:cs="Arial"/>
          <w:bCs/>
          <w:color w:val="222222"/>
        </w:rPr>
        <w:t>Non-revenue water</w:t>
      </w:r>
      <w:r w:rsidRPr="00243C32">
        <w:rPr>
          <w:rStyle w:val="tgc"/>
          <w:rFonts w:asciiTheme="minorHAnsi" w:eastAsia="SimSun" w:hAnsiTheme="minorHAnsi" w:cs="Arial"/>
          <w:color w:val="222222"/>
        </w:rPr>
        <w:t xml:space="preserve"> is </w:t>
      </w:r>
      <w:r w:rsidRPr="00243C32">
        <w:rPr>
          <w:rStyle w:val="tgc"/>
          <w:rFonts w:asciiTheme="minorHAnsi" w:eastAsia="SimSun" w:hAnsiTheme="minorHAnsi" w:cs="Arial"/>
          <w:bCs/>
          <w:color w:val="222222"/>
        </w:rPr>
        <w:t>water</w:t>
      </w:r>
      <w:r w:rsidRPr="00243C32">
        <w:rPr>
          <w:rStyle w:val="tgc"/>
          <w:rFonts w:asciiTheme="minorHAnsi" w:eastAsia="SimSun" w:hAnsiTheme="minorHAnsi" w:cs="Arial"/>
          <w:color w:val="222222"/>
        </w:rPr>
        <w:t xml:space="preserve"> that has been produced but does not reach the customer. Losses can be real losses through leaks, sometimes also referred to as physical losses, or they can be apparent losses for example through theft or metering inaccuracies.</w:t>
      </w:r>
    </w:p>
  </w:footnote>
  <w:footnote w:id="10">
    <w:p w14:paraId="52152E53" w14:textId="77777777" w:rsidR="004503F3" w:rsidRPr="004714BD" w:rsidRDefault="004503F3" w:rsidP="0045733E">
      <w:pPr>
        <w:pStyle w:val="FootnoteText"/>
        <w:rPr>
          <w:sz w:val="18"/>
          <w:szCs w:val="18"/>
        </w:rPr>
      </w:pPr>
      <w:r w:rsidRPr="004714BD">
        <w:rPr>
          <w:rStyle w:val="FootnoteReference"/>
          <w:sz w:val="18"/>
          <w:szCs w:val="18"/>
        </w:rPr>
        <w:footnoteRef/>
      </w:r>
      <w:r w:rsidRPr="004714BD">
        <w:rPr>
          <w:sz w:val="18"/>
          <w:szCs w:val="18"/>
        </w:rPr>
        <w:t xml:space="preserve"> World Bank Governance Toolkit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E2F5B" w14:textId="77777777" w:rsidR="004503F3" w:rsidRPr="00894985" w:rsidRDefault="004503F3" w:rsidP="00250D0A">
    <w:pPr>
      <w:pStyle w:val="Header"/>
      <w:jc w:val="right"/>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C960" w14:textId="77777777" w:rsidR="004503F3" w:rsidRDefault="004503F3">
    <w:pPr>
      <w:pStyle w:val="Header"/>
      <w:jc w:val="right"/>
    </w:pPr>
  </w:p>
  <w:p w14:paraId="2A054370" w14:textId="77777777" w:rsidR="004503F3" w:rsidRDefault="00450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5C40B" w14:textId="77777777" w:rsidR="004503F3" w:rsidRDefault="00450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E3245" w14:textId="4725655B" w:rsidR="004503F3" w:rsidRDefault="004503F3" w:rsidP="00DC4B52">
    <w:r>
      <w:rPr>
        <w:i/>
        <w:noProof/>
        <w:sz w:val="18"/>
        <w:szCs w:val="18"/>
        <w:u w:val="single"/>
      </w:rPr>
      <w:t>Ministry of Finance: Private Sector Development Department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475F5" w14:textId="77777777" w:rsidR="004503F3" w:rsidRDefault="004503F3" w:rsidP="00250D0A">
    <w:r>
      <w:rPr>
        <w:i/>
        <w:noProof/>
        <w:sz w:val="18"/>
        <w:szCs w:val="18"/>
        <w:u w:val="single"/>
      </w:rPr>
      <w:t>Ministry of Finance: Private Sector Development Division</w:t>
    </w:r>
  </w:p>
  <w:p w14:paraId="0DEE2195" w14:textId="77777777" w:rsidR="004503F3" w:rsidRPr="00C44406" w:rsidRDefault="004503F3" w:rsidP="00250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2F42"/>
    <w:multiLevelType w:val="multilevel"/>
    <w:tmpl w:val="EFAC265A"/>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64D9F"/>
    <w:multiLevelType w:val="hybridMultilevel"/>
    <w:tmpl w:val="4352E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4060E3"/>
    <w:multiLevelType w:val="multilevel"/>
    <w:tmpl w:val="4EF6A476"/>
    <w:lvl w:ilvl="0">
      <w:start w:val="1"/>
      <w:numFmt w:val="decimal"/>
      <w:lvlText w:val="%1."/>
      <w:lvlJc w:val="left"/>
      <w:pPr>
        <w:ind w:left="928" w:hanging="360"/>
      </w:pPr>
      <w:rPr>
        <w:color w:val="000000" w:themeColor="text1"/>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3" w15:restartNumberingAfterBreak="0">
    <w:nsid w:val="1E804109"/>
    <w:multiLevelType w:val="hybridMultilevel"/>
    <w:tmpl w:val="55B0C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1144B"/>
    <w:multiLevelType w:val="hybridMultilevel"/>
    <w:tmpl w:val="51E2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D6CB2"/>
    <w:multiLevelType w:val="hybridMultilevel"/>
    <w:tmpl w:val="01BE2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8121B"/>
    <w:multiLevelType w:val="hybridMultilevel"/>
    <w:tmpl w:val="F23ED0BA"/>
    <w:lvl w:ilvl="0" w:tplc="7492899E">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2566A5"/>
    <w:multiLevelType w:val="hybridMultilevel"/>
    <w:tmpl w:val="4EF6A476"/>
    <w:lvl w:ilvl="0" w:tplc="86A4E8DE">
      <w:start w:val="1"/>
      <w:numFmt w:val="decimal"/>
      <w:pStyle w:val="ListParagraph"/>
      <w:lvlText w:val="%1."/>
      <w:lvlJc w:val="left"/>
      <w:pPr>
        <w:ind w:left="928" w:hanging="360"/>
      </w:pPr>
      <w:rPr>
        <w:color w:val="000000" w:themeColor="text1"/>
      </w:r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8" w15:restartNumberingAfterBreak="0">
    <w:nsid w:val="32CD1A53"/>
    <w:multiLevelType w:val="hybridMultilevel"/>
    <w:tmpl w:val="BC6E5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61ED1"/>
    <w:multiLevelType w:val="multilevel"/>
    <w:tmpl w:val="F5288738"/>
    <w:lvl w:ilvl="0">
      <w:start w:val="1"/>
      <w:numFmt w:val="decimal"/>
      <w:isLgl/>
      <w:suff w:val="space"/>
      <w:lvlText w:val="%1."/>
      <w:lvlJc w:val="left"/>
      <w:pPr>
        <w:ind w:left="90" w:firstLine="0"/>
      </w:pPr>
      <w:rPr>
        <w:rFonts w:ascii="Times New Roman" w:hAnsi="Times New Roman" w:cs="Times New Roman"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6146ECF"/>
    <w:multiLevelType w:val="hybridMultilevel"/>
    <w:tmpl w:val="A9AA5ADC"/>
    <w:lvl w:ilvl="0" w:tplc="0C090005">
      <w:start w:val="1"/>
      <w:numFmt w:val="bullet"/>
      <w:lvlText w:val=""/>
      <w:lvlJc w:val="left"/>
      <w:pPr>
        <w:ind w:left="114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86D74"/>
    <w:multiLevelType w:val="hybridMultilevel"/>
    <w:tmpl w:val="FAB21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91810"/>
    <w:multiLevelType w:val="hybridMultilevel"/>
    <w:tmpl w:val="AFA0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14BD3"/>
    <w:multiLevelType w:val="multilevel"/>
    <w:tmpl w:val="4EF6A476"/>
    <w:lvl w:ilvl="0">
      <w:start w:val="1"/>
      <w:numFmt w:val="decimal"/>
      <w:lvlText w:val="%1."/>
      <w:lvlJc w:val="left"/>
      <w:pPr>
        <w:ind w:left="928" w:hanging="360"/>
      </w:pPr>
      <w:rPr>
        <w:color w:val="000000" w:themeColor="text1"/>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4" w15:restartNumberingAfterBreak="0">
    <w:nsid w:val="483E2C05"/>
    <w:multiLevelType w:val="hybridMultilevel"/>
    <w:tmpl w:val="E390C73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5" w15:restartNumberingAfterBreak="0">
    <w:nsid w:val="53024CE3"/>
    <w:multiLevelType w:val="multilevel"/>
    <w:tmpl w:val="4A7E21A2"/>
    <w:lvl w:ilvl="0">
      <w:start w:val="1"/>
      <w:numFmt w:val="upperRoman"/>
      <w:lvlText w:val="%1."/>
      <w:lvlJc w:val="right"/>
      <w:pPr>
        <w:ind w:left="4434"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3DC576D"/>
    <w:multiLevelType w:val="hybridMultilevel"/>
    <w:tmpl w:val="8064EB80"/>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7" w15:restartNumberingAfterBreak="0">
    <w:nsid w:val="55BB3582"/>
    <w:multiLevelType w:val="hybridMultilevel"/>
    <w:tmpl w:val="F320DDB4"/>
    <w:lvl w:ilvl="0" w:tplc="0C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CF5050"/>
    <w:multiLevelType w:val="multilevel"/>
    <w:tmpl w:val="4EF6A476"/>
    <w:lvl w:ilvl="0">
      <w:start w:val="1"/>
      <w:numFmt w:val="decimal"/>
      <w:lvlText w:val="%1."/>
      <w:lvlJc w:val="left"/>
      <w:pPr>
        <w:ind w:left="928" w:hanging="360"/>
      </w:pPr>
      <w:rPr>
        <w:color w:val="000000" w:themeColor="text1"/>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9" w15:restartNumberingAfterBreak="0">
    <w:nsid w:val="592D499B"/>
    <w:multiLevelType w:val="hybridMultilevel"/>
    <w:tmpl w:val="010EB2F4"/>
    <w:lvl w:ilvl="0" w:tplc="0C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5A2F03FA"/>
    <w:multiLevelType w:val="hybridMultilevel"/>
    <w:tmpl w:val="80966346"/>
    <w:lvl w:ilvl="0" w:tplc="0C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5C114B24"/>
    <w:multiLevelType w:val="hybridMultilevel"/>
    <w:tmpl w:val="CC06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93BAF"/>
    <w:multiLevelType w:val="hybridMultilevel"/>
    <w:tmpl w:val="B33EFD90"/>
    <w:lvl w:ilvl="0" w:tplc="0C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6D43776B"/>
    <w:multiLevelType w:val="hybridMultilevel"/>
    <w:tmpl w:val="51769C98"/>
    <w:lvl w:ilvl="0" w:tplc="5AE4467C">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D4A9F"/>
    <w:multiLevelType w:val="hybridMultilevel"/>
    <w:tmpl w:val="0D0496BE"/>
    <w:lvl w:ilvl="0" w:tplc="0409000F">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892CD3"/>
    <w:multiLevelType w:val="hybridMultilevel"/>
    <w:tmpl w:val="BB0EB9B8"/>
    <w:lvl w:ilvl="0" w:tplc="5574B904">
      <w:start w:val="1"/>
      <w:numFmt w:val="bullet"/>
      <w:pStyle w:val="Bullet1"/>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F0C1A"/>
    <w:multiLevelType w:val="hybridMultilevel"/>
    <w:tmpl w:val="E7E8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6"/>
  </w:num>
  <w:num w:numId="4">
    <w:abstractNumId w:val="22"/>
  </w:num>
  <w:num w:numId="5">
    <w:abstractNumId w:val="19"/>
  </w:num>
  <w:num w:numId="6">
    <w:abstractNumId w:val="11"/>
  </w:num>
  <w:num w:numId="7">
    <w:abstractNumId w:val="7"/>
    <w:lvlOverride w:ilvl="0">
      <w:startOverride w:val="1"/>
    </w:lvlOverride>
  </w:num>
  <w:num w:numId="8">
    <w:abstractNumId w:val="8"/>
  </w:num>
  <w:num w:numId="9">
    <w:abstractNumId w:val="5"/>
  </w:num>
  <w:num w:numId="10">
    <w:abstractNumId w:val="1"/>
  </w:num>
  <w:num w:numId="11">
    <w:abstractNumId w:val="9"/>
  </w:num>
  <w:num w:numId="12">
    <w:abstractNumId w:val="16"/>
  </w:num>
  <w:num w:numId="13">
    <w:abstractNumId w:val="3"/>
  </w:num>
  <w:num w:numId="14">
    <w:abstractNumId w:val="21"/>
  </w:num>
  <w:num w:numId="15">
    <w:abstractNumId w:val="20"/>
  </w:num>
  <w:num w:numId="16">
    <w:abstractNumId w:val="23"/>
  </w:num>
  <w:num w:numId="17">
    <w:abstractNumId w:val="23"/>
  </w:num>
  <w:num w:numId="18">
    <w:abstractNumId w:val="15"/>
  </w:num>
  <w:num w:numId="19">
    <w:abstractNumId w:val="0"/>
  </w:num>
  <w:num w:numId="20">
    <w:abstractNumId w:val="23"/>
  </w:num>
  <w:num w:numId="21">
    <w:abstractNumId w:val="23"/>
  </w:num>
  <w:num w:numId="22">
    <w:abstractNumId w:val="10"/>
  </w:num>
  <w:num w:numId="23">
    <w:abstractNumId w:val="17"/>
  </w:num>
  <w:num w:numId="24">
    <w:abstractNumId w:val="23"/>
    <w:lvlOverride w:ilvl="0">
      <w:startOverride w:val="57"/>
    </w:lvlOverride>
  </w:num>
  <w:num w:numId="25">
    <w:abstractNumId w:val="23"/>
    <w:lvlOverride w:ilvl="0">
      <w:startOverride w:val="57"/>
    </w:lvlOverride>
  </w:num>
  <w:num w:numId="26">
    <w:abstractNumId w:val="23"/>
    <w:lvlOverride w:ilvl="0">
      <w:startOverride w:val="57"/>
    </w:lvlOverride>
  </w:num>
  <w:num w:numId="27">
    <w:abstractNumId w:val="23"/>
    <w:lvlOverride w:ilvl="0">
      <w:startOverride w:val="57"/>
    </w:lvlOverride>
  </w:num>
  <w:num w:numId="28">
    <w:abstractNumId w:val="7"/>
    <w:lvlOverride w:ilvl="0">
      <w:startOverride w:val="58"/>
    </w:lvlOverride>
  </w:num>
  <w:num w:numId="29">
    <w:abstractNumId w:val="7"/>
    <w:lvlOverride w:ilvl="0">
      <w:startOverride w:val="1"/>
    </w:lvlOverride>
  </w:num>
  <w:num w:numId="30">
    <w:abstractNumId w:val="12"/>
  </w:num>
  <w:num w:numId="31">
    <w:abstractNumId w:val="26"/>
  </w:num>
  <w:num w:numId="32">
    <w:abstractNumId w:val="7"/>
  </w:num>
  <w:num w:numId="33">
    <w:abstractNumId w:val="7"/>
  </w:num>
  <w:num w:numId="34">
    <w:abstractNumId w:val="14"/>
  </w:num>
  <w:num w:numId="35">
    <w:abstractNumId w:val="7"/>
  </w:num>
  <w:num w:numId="36">
    <w:abstractNumId w:val="4"/>
  </w:num>
  <w:num w:numId="37">
    <w:abstractNumId w:val="7"/>
  </w:num>
  <w:num w:numId="38">
    <w:abstractNumId w:val="25"/>
  </w:num>
  <w:num w:numId="39">
    <w:abstractNumId w:val="24"/>
  </w:num>
  <w:num w:numId="40">
    <w:abstractNumId w:val="7"/>
    <w:lvlOverride w:ilvl="0">
      <w:startOverride w:val="1"/>
    </w:lvlOverride>
  </w:num>
  <w:num w:numId="41">
    <w:abstractNumId w:val="7"/>
  </w:num>
  <w:num w:numId="42">
    <w:abstractNumId w:val="7"/>
  </w:num>
  <w:num w:numId="43">
    <w:abstractNumId w:val="18"/>
  </w:num>
  <w:num w:numId="44">
    <w:abstractNumId w:val="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77"/>
    <w:rsid w:val="0000094C"/>
    <w:rsid w:val="00002AF4"/>
    <w:rsid w:val="00004090"/>
    <w:rsid w:val="00006267"/>
    <w:rsid w:val="000068B0"/>
    <w:rsid w:val="00010C14"/>
    <w:rsid w:val="0001257F"/>
    <w:rsid w:val="00012FF5"/>
    <w:rsid w:val="000132EF"/>
    <w:rsid w:val="00013BE1"/>
    <w:rsid w:val="00013E25"/>
    <w:rsid w:val="00017193"/>
    <w:rsid w:val="000177B4"/>
    <w:rsid w:val="000206F4"/>
    <w:rsid w:val="000207BD"/>
    <w:rsid w:val="00021249"/>
    <w:rsid w:val="00021868"/>
    <w:rsid w:val="000232EB"/>
    <w:rsid w:val="00025392"/>
    <w:rsid w:val="000275B2"/>
    <w:rsid w:val="00027B0D"/>
    <w:rsid w:val="00027DC6"/>
    <w:rsid w:val="00027EC9"/>
    <w:rsid w:val="00027F06"/>
    <w:rsid w:val="000305DC"/>
    <w:rsid w:val="0003089F"/>
    <w:rsid w:val="00030BA0"/>
    <w:rsid w:val="0003183E"/>
    <w:rsid w:val="0003234A"/>
    <w:rsid w:val="0003481C"/>
    <w:rsid w:val="000348E8"/>
    <w:rsid w:val="00034EC7"/>
    <w:rsid w:val="000366FA"/>
    <w:rsid w:val="00036FB3"/>
    <w:rsid w:val="00040BDC"/>
    <w:rsid w:val="00042A39"/>
    <w:rsid w:val="000459F5"/>
    <w:rsid w:val="0005002F"/>
    <w:rsid w:val="000527CC"/>
    <w:rsid w:val="00053DDE"/>
    <w:rsid w:val="000551D6"/>
    <w:rsid w:val="00055C19"/>
    <w:rsid w:val="000569ED"/>
    <w:rsid w:val="00060DB7"/>
    <w:rsid w:val="0006134B"/>
    <w:rsid w:val="00062B5C"/>
    <w:rsid w:val="000714FB"/>
    <w:rsid w:val="00074420"/>
    <w:rsid w:val="00074E02"/>
    <w:rsid w:val="000761BE"/>
    <w:rsid w:val="00076535"/>
    <w:rsid w:val="000815F8"/>
    <w:rsid w:val="0008377D"/>
    <w:rsid w:val="00084599"/>
    <w:rsid w:val="000845E7"/>
    <w:rsid w:val="00084C8B"/>
    <w:rsid w:val="0008678A"/>
    <w:rsid w:val="00087030"/>
    <w:rsid w:val="00087238"/>
    <w:rsid w:val="000905A2"/>
    <w:rsid w:val="00091330"/>
    <w:rsid w:val="00091EBE"/>
    <w:rsid w:val="00092D16"/>
    <w:rsid w:val="00097678"/>
    <w:rsid w:val="00097C28"/>
    <w:rsid w:val="000A02BE"/>
    <w:rsid w:val="000A05B4"/>
    <w:rsid w:val="000A14B5"/>
    <w:rsid w:val="000A3D40"/>
    <w:rsid w:val="000A5089"/>
    <w:rsid w:val="000A50F0"/>
    <w:rsid w:val="000A5A54"/>
    <w:rsid w:val="000A5C32"/>
    <w:rsid w:val="000A775E"/>
    <w:rsid w:val="000B10FD"/>
    <w:rsid w:val="000B3707"/>
    <w:rsid w:val="000B43C9"/>
    <w:rsid w:val="000B47F3"/>
    <w:rsid w:val="000B4EBF"/>
    <w:rsid w:val="000B58F9"/>
    <w:rsid w:val="000B62C4"/>
    <w:rsid w:val="000B6511"/>
    <w:rsid w:val="000B6E53"/>
    <w:rsid w:val="000C3948"/>
    <w:rsid w:val="000C46EB"/>
    <w:rsid w:val="000C4E76"/>
    <w:rsid w:val="000C672B"/>
    <w:rsid w:val="000C6EA1"/>
    <w:rsid w:val="000C7A44"/>
    <w:rsid w:val="000D1396"/>
    <w:rsid w:val="000D192C"/>
    <w:rsid w:val="000D1DDC"/>
    <w:rsid w:val="000D3586"/>
    <w:rsid w:val="000D4C7B"/>
    <w:rsid w:val="000D56D4"/>
    <w:rsid w:val="000D574B"/>
    <w:rsid w:val="000D74C8"/>
    <w:rsid w:val="000E0E31"/>
    <w:rsid w:val="000E2CEB"/>
    <w:rsid w:val="000E3117"/>
    <w:rsid w:val="000E4804"/>
    <w:rsid w:val="000E6070"/>
    <w:rsid w:val="000E642E"/>
    <w:rsid w:val="000E758E"/>
    <w:rsid w:val="000F2FE6"/>
    <w:rsid w:val="000F4D7F"/>
    <w:rsid w:val="000F5293"/>
    <w:rsid w:val="000F5A6E"/>
    <w:rsid w:val="000F5EE5"/>
    <w:rsid w:val="000F6430"/>
    <w:rsid w:val="000F7699"/>
    <w:rsid w:val="000F7CD6"/>
    <w:rsid w:val="001013B8"/>
    <w:rsid w:val="00101F02"/>
    <w:rsid w:val="00103CC4"/>
    <w:rsid w:val="00105619"/>
    <w:rsid w:val="00105E5F"/>
    <w:rsid w:val="001117EB"/>
    <w:rsid w:val="00114482"/>
    <w:rsid w:val="00114F08"/>
    <w:rsid w:val="00115004"/>
    <w:rsid w:val="001161BD"/>
    <w:rsid w:val="001222FA"/>
    <w:rsid w:val="00122D61"/>
    <w:rsid w:val="00123332"/>
    <w:rsid w:val="00125B7A"/>
    <w:rsid w:val="00126B41"/>
    <w:rsid w:val="00126FB0"/>
    <w:rsid w:val="00130B6F"/>
    <w:rsid w:val="00131A20"/>
    <w:rsid w:val="00133556"/>
    <w:rsid w:val="001342D4"/>
    <w:rsid w:val="00134723"/>
    <w:rsid w:val="00137340"/>
    <w:rsid w:val="00137B00"/>
    <w:rsid w:val="0014031E"/>
    <w:rsid w:val="00140799"/>
    <w:rsid w:val="00141E8E"/>
    <w:rsid w:val="001422F2"/>
    <w:rsid w:val="00142BFF"/>
    <w:rsid w:val="0014354F"/>
    <w:rsid w:val="00151523"/>
    <w:rsid w:val="00155F7E"/>
    <w:rsid w:val="00156DCB"/>
    <w:rsid w:val="00157E8E"/>
    <w:rsid w:val="00162065"/>
    <w:rsid w:val="00162814"/>
    <w:rsid w:val="001633CE"/>
    <w:rsid w:val="0016371F"/>
    <w:rsid w:val="001641BE"/>
    <w:rsid w:val="00164693"/>
    <w:rsid w:val="00164A1B"/>
    <w:rsid w:val="00164B1C"/>
    <w:rsid w:val="00165C46"/>
    <w:rsid w:val="001700C3"/>
    <w:rsid w:val="00170873"/>
    <w:rsid w:val="00170AB4"/>
    <w:rsid w:val="00172349"/>
    <w:rsid w:val="001747A7"/>
    <w:rsid w:val="00175115"/>
    <w:rsid w:val="00175328"/>
    <w:rsid w:val="00176B4B"/>
    <w:rsid w:val="00176CB9"/>
    <w:rsid w:val="001809E9"/>
    <w:rsid w:val="001829AC"/>
    <w:rsid w:val="00182E8C"/>
    <w:rsid w:val="0018304A"/>
    <w:rsid w:val="00183050"/>
    <w:rsid w:val="0018502B"/>
    <w:rsid w:val="00185C14"/>
    <w:rsid w:val="00185D71"/>
    <w:rsid w:val="00187193"/>
    <w:rsid w:val="00187DA3"/>
    <w:rsid w:val="001908D6"/>
    <w:rsid w:val="00190D13"/>
    <w:rsid w:val="00191156"/>
    <w:rsid w:val="001913A4"/>
    <w:rsid w:val="00192DF5"/>
    <w:rsid w:val="00193F65"/>
    <w:rsid w:val="00194B87"/>
    <w:rsid w:val="001951AF"/>
    <w:rsid w:val="0019797C"/>
    <w:rsid w:val="001A196E"/>
    <w:rsid w:val="001A3C90"/>
    <w:rsid w:val="001A4146"/>
    <w:rsid w:val="001A5429"/>
    <w:rsid w:val="001A626C"/>
    <w:rsid w:val="001A6A6F"/>
    <w:rsid w:val="001A78A8"/>
    <w:rsid w:val="001B2107"/>
    <w:rsid w:val="001B39C9"/>
    <w:rsid w:val="001B4BEF"/>
    <w:rsid w:val="001B5A1A"/>
    <w:rsid w:val="001C0D46"/>
    <w:rsid w:val="001C121F"/>
    <w:rsid w:val="001C1238"/>
    <w:rsid w:val="001C1353"/>
    <w:rsid w:val="001C16B7"/>
    <w:rsid w:val="001C4FFB"/>
    <w:rsid w:val="001C598A"/>
    <w:rsid w:val="001C5F56"/>
    <w:rsid w:val="001C6933"/>
    <w:rsid w:val="001D0D7C"/>
    <w:rsid w:val="001D203E"/>
    <w:rsid w:val="001D24E6"/>
    <w:rsid w:val="001D24F1"/>
    <w:rsid w:val="001D3B4A"/>
    <w:rsid w:val="001D3B74"/>
    <w:rsid w:val="001D4D3B"/>
    <w:rsid w:val="001D4F86"/>
    <w:rsid w:val="001D5127"/>
    <w:rsid w:val="001D5604"/>
    <w:rsid w:val="001D62B9"/>
    <w:rsid w:val="001D6687"/>
    <w:rsid w:val="001D7BD7"/>
    <w:rsid w:val="001E16D5"/>
    <w:rsid w:val="001E32BA"/>
    <w:rsid w:val="001E46DB"/>
    <w:rsid w:val="001F0A11"/>
    <w:rsid w:val="001F22E9"/>
    <w:rsid w:val="001F2D0E"/>
    <w:rsid w:val="001F5F69"/>
    <w:rsid w:val="002003C4"/>
    <w:rsid w:val="00202C18"/>
    <w:rsid w:val="002035C8"/>
    <w:rsid w:val="0020456E"/>
    <w:rsid w:val="00204E4F"/>
    <w:rsid w:val="00205301"/>
    <w:rsid w:val="0020556E"/>
    <w:rsid w:val="002058CB"/>
    <w:rsid w:val="00210920"/>
    <w:rsid w:val="00210986"/>
    <w:rsid w:val="002122D8"/>
    <w:rsid w:val="0021320C"/>
    <w:rsid w:val="00214D50"/>
    <w:rsid w:val="00215245"/>
    <w:rsid w:val="00216275"/>
    <w:rsid w:val="002224C2"/>
    <w:rsid w:val="00224C2C"/>
    <w:rsid w:val="002277BF"/>
    <w:rsid w:val="00227AD6"/>
    <w:rsid w:val="0023147B"/>
    <w:rsid w:val="00231DA1"/>
    <w:rsid w:val="0023418E"/>
    <w:rsid w:val="002346A8"/>
    <w:rsid w:val="00234B8E"/>
    <w:rsid w:val="00237B5F"/>
    <w:rsid w:val="00237BB4"/>
    <w:rsid w:val="00237BB7"/>
    <w:rsid w:val="00240A81"/>
    <w:rsid w:val="0024113C"/>
    <w:rsid w:val="0024202E"/>
    <w:rsid w:val="0024204C"/>
    <w:rsid w:val="00243C32"/>
    <w:rsid w:val="00244AD7"/>
    <w:rsid w:val="00244ECB"/>
    <w:rsid w:val="002455C0"/>
    <w:rsid w:val="00245CCB"/>
    <w:rsid w:val="00246A09"/>
    <w:rsid w:val="00247722"/>
    <w:rsid w:val="002501F8"/>
    <w:rsid w:val="00250D0A"/>
    <w:rsid w:val="0025122B"/>
    <w:rsid w:val="002522F9"/>
    <w:rsid w:val="0025471B"/>
    <w:rsid w:val="0025521B"/>
    <w:rsid w:val="002557DA"/>
    <w:rsid w:val="00257A3A"/>
    <w:rsid w:val="00261E44"/>
    <w:rsid w:val="0026260C"/>
    <w:rsid w:val="0026349F"/>
    <w:rsid w:val="002637C7"/>
    <w:rsid w:val="00264387"/>
    <w:rsid w:val="00266167"/>
    <w:rsid w:val="00266868"/>
    <w:rsid w:val="00270CC7"/>
    <w:rsid w:val="002710EB"/>
    <w:rsid w:val="00271903"/>
    <w:rsid w:val="002720C6"/>
    <w:rsid w:val="00273603"/>
    <w:rsid w:val="00273B3D"/>
    <w:rsid w:val="00273C9C"/>
    <w:rsid w:val="00274805"/>
    <w:rsid w:val="002755EC"/>
    <w:rsid w:val="00276897"/>
    <w:rsid w:val="002773C1"/>
    <w:rsid w:val="00281B45"/>
    <w:rsid w:val="00281D6A"/>
    <w:rsid w:val="00282533"/>
    <w:rsid w:val="00283CBF"/>
    <w:rsid w:val="00283EC0"/>
    <w:rsid w:val="0028403F"/>
    <w:rsid w:val="00284730"/>
    <w:rsid w:val="0028614D"/>
    <w:rsid w:val="00286DB9"/>
    <w:rsid w:val="00292A24"/>
    <w:rsid w:val="00292F83"/>
    <w:rsid w:val="00293434"/>
    <w:rsid w:val="00293A4A"/>
    <w:rsid w:val="00293BC9"/>
    <w:rsid w:val="002949D4"/>
    <w:rsid w:val="002962E0"/>
    <w:rsid w:val="002A121C"/>
    <w:rsid w:val="002A1778"/>
    <w:rsid w:val="002A2AB0"/>
    <w:rsid w:val="002A54CB"/>
    <w:rsid w:val="002A55C6"/>
    <w:rsid w:val="002A6302"/>
    <w:rsid w:val="002A6B2D"/>
    <w:rsid w:val="002A7B9A"/>
    <w:rsid w:val="002B05EF"/>
    <w:rsid w:val="002B161C"/>
    <w:rsid w:val="002B1958"/>
    <w:rsid w:val="002B2FC7"/>
    <w:rsid w:val="002B5023"/>
    <w:rsid w:val="002B59A1"/>
    <w:rsid w:val="002B5AF8"/>
    <w:rsid w:val="002B5BE1"/>
    <w:rsid w:val="002B5DA7"/>
    <w:rsid w:val="002B61F0"/>
    <w:rsid w:val="002B6605"/>
    <w:rsid w:val="002C1017"/>
    <w:rsid w:val="002C1821"/>
    <w:rsid w:val="002C1994"/>
    <w:rsid w:val="002C2017"/>
    <w:rsid w:val="002C32BC"/>
    <w:rsid w:val="002C3686"/>
    <w:rsid w:val="002C6F2C"/>
    <w:rsid w:val="002C76CF"/>
    <w:rsid w:val="002C7C2F"/>
    <w:rsid w:val="002D018B"/>
    <w:rsid w:val="002D03DE"/>
    <w:rsid w:val="002D1880"/>
    <w:rsid w:val="002D1933"/>
    <w:rsid w:val="002D207E"/>
    <w:rsid w:val="002D4330"/>
    <w:rsid w:val="002D475C"/>
    <w:rsid w:val="002D74F6"/>
    <w:rsid w:val="002E0293"/>
    <w:rsid w:val="002E1E14"/>
    <w:rsid w:val="002E21D0"/>
    <w:rsid w:val="002E2B6C"/>
    <w:rsid w:val="002E3A65"/>
    <w:rsid w:val="002E47E6"/>
    <w:rsid w:val="002E583B"/>
    <w:rsid w:val="002E7794"/>
    <w:rsid w:val="002E791A"/>
    <w:rsid w:val="002E7ADE"/>
    <w:rsid w:val="002F0899"/>
    <w:rsid w:val="002F1186"/>
    <w:rsid w:val="002F18EC"/>
    <w:rsid w:val="002F1F08"/>
    <w:rsid w:val="002F4491"/>
    <w:rsid w:val="002F5EF8"/>
    <w:rsid w:val="002F60FF"/>
    <w:rsid w:val="003023C0"/>
    <w:rsid w:val="00303CE2"/>
    <w:rsid w:val="00303FA9"/>
    <w:rsid w:val="0030444B"/>
    <w:rsid w:val="00305342"/>
    <w:rsid w:val="00305F48"/>
    <w:rsid w:val="00306503"/>
    <w:rsid w:val="003077A9"/>
    <w:rsid w:val="00310986"/>
    <w:rsid w:val="0031126F"/>
    <w:rsid w:val="0031151B"/>
    <w:rsid w:val="003151C4"/>
    <w:rsid w:val="003156BE"/>
    <w:rsid w:val="003166B5"/>
    <w:rsid w:val="00321297"/>
    <w:rsid w:val="0032150B"/>
    <w:rsid w:val="003215F9"/>
    <w:rsid w:val="00321B15"/>
    <w:rsid w:val="00322AE1"/>
    <w:rsid w:val="0032306D"/>
    <w:rsid w:val="00323A89"/>
    <w:rsid w:val="00324502"/>
    <w:rsid w:val="00324BF9"/>
    <w:rsid w:val="00325B5D"/>
    <w:rsid w:val="0032620C"/>
    <w:rsid w:val="0032728C"/>
    <w:rsid w:val="00330356"/>
    <w:rsid w:val="0033112E"/>
    <w:rsid w:val="00331282"/>
    <w:rsid w:val="0033148D"/>
    <w:rsid w:val="00331D60"/>
    <w:rsid w:val="00332B6B"/>
    <w:rsid w:val="00334995"/>
    <w:rsid w:val="00334B33"/>
    <w:rsid w:val="00335099"/>
    <w:rsid w:val="00335D0F"/>
    <w:rsid w:val="00335D4C"/>
    <w:rsid w:val="00336512"/>
    <w:rsid w:val="00337E0D"/>
    <w:rsid w:val="00341888"/>
    <w:rsid w:val="00342D43"/>
    <w:rsid w:val="00343979"/>
    <w:rsid w:val="003441FB"/>
    <w:rsid w:val="00344282"/>
    <w:rsid w:val="00344A66"/>
    <w:rsid w:val="00345425"/>
    <w:rsid w:val="0034568A"/>
    <w:rsid w:val="00346A36"/>
    <w:rsid w:val="00346CE9"/>
    <w:rsid w:val="00350398"/>
    <w:rsid w:val="0035165C"/>
    <w:rsid w:val="0035187A"/>
    <w:rsid w:val="00351DA2"/>
    <w:rsid w:val="00351F2D"/>
    <w:rsid w:val="003540F8"/>
    <w:rsid w:val="00354F2E"/>
    <w:rsid w:val="00355085"/>
    <w:rsid w:val="00355500"/>
    <w:rsid w:val="00355BD8"/>
    <w:rsid w:val="00355E17"/>
    <w:rsid w:val="00355F4B"/>
    <w:rsid w:val="00356468"/>
    <w:rsid w:val="0035648D"/>
    <w:rsid w:val="0035659C"/>
    <w:rsid w:val="00357DF3"/>
    <w:rsid w:val="00360772"/>
    <w:rsid w:val="0036155D"/>
    <w:rsid w:val="00362B49"/>
    <w:rsid w:val="00363157"/>
    <w:rsid w:val="003631E0"/>
    <w:rsid w:val="0036478B"/>
    <w:rsid w:val="00365377"/>
    <w:rsid w:val="00365DCF"/>
    <w:rsid w:val="003660BA"/>
    <w:rsid w:val="003673EA"/>
    <w:rsid w:val="003674E5"/>
    <w:rsid w:val="00370BC8"/>
    <w:rsid w:val="00372AD9"/>
    <w:rsid w:val="003736B4"/>
    <w:rsid w:val="003740F7"/>
    <w:rsid w:val="0037533D"/>
    <w:rsid w:val="00375D1E"/>
    <w:rsid w:val="00377C70"/>
    <w:rsid w:val="003818F6"/>
    <w:rsid w:val="00381D3E"/>
    <w:rsid w:val="00382816"/>
    <w:rsid w:val="00382C22"/>
    <w:rsid w:val="00383FF7"/>
    <w:rsid w:val="00384EA0"/>
    <w:rsid w:val="00387167"/>
    <w:rsid w:val="0039019C"/>
    <w:rsid w:val="0039061F"/>
    <w:rsid w:val="0039154E"/>
    <w:rsid w:val="00392226"/>
    <w:rsid w:val="00392A70"/>
    <w:rsid w:val="00392EF7"/>
    <w:rsid w:val="003940F0"/>
    <w:rsid w:val="00395583"/>
    <w:rsid w:val="003A00C0"/>
    <w:rsid w:val="003A1C58"/>
    <w:rsid w:val="003A1E9E"/>
    <w:rsid w:val="003A28EA"/>
    <w:rsid w:val="003A300D"/>
    <w:rsid w:val="003A38AB"/>
    <w:rsid w:val="003A50F8"/>
    <w:rsid w:val="003A5E0F"/>
    <w:rsid w:val="003A6862"/>
    <w:rsid w:val="003A6A90"/>
    <w:rsid w:val="003A703F"/>
    <w:rsid w:val="003A7260"/>
    <w:rsid w:val="003A7F36"/>
    <w:rsid w:val="003A7FC6"/>
    <w:rsid w:val="003B1277"/>
    <w:rsid w:val="003B1773"/>
    <w:rsid w:val="003B2220"/>
    <w:rsid w:val="003B2A4E"/>
    <w:rsid w:val="003B5792"/>
    <w:rsid w:val="003B651B"/>
    <w:rsid w:val="003B6F18"/>
    <w:rsid w:val="003B7B18"/>
    <w:rsid w:val="003C14E0"/>
    <w:rsid w:val="003C2A10"/>
    <w:rsid w:val="003C3628"/>
    <w:rsid w:val="003C4ABC"/>
    <w:rsid w:val="003C52B0"/>
    <w:rsid w:val="003D0508"/>
    <w:rsid w:val="003D0ADA"/>
    <w:rsid w:val="003D1271"/>
    <w:rsid w:val="003D216B"/>
    <w:rsid w:val="003D25BC"/>
    <w:rsid w:val="003D2A89"/>
    <w:rsid w:val="003D2DFF"/>
    <w:rsid w:val="003D735A"/>
    <w:rsid w:val="003E181B"/>
    <w:rsid w:val="003E1F27"/>
    <w:rsid w:val="003E2AA4"/>
    <w:rsid w:val="003E34CF"/>
    <w:rsid w:val="003E3DDF"/>
    <w:rsid w:val="003E672E"/>
    <w:rsid w:val="003E7ACF"/>
    <w:rsid w:val="003E7F75"/>
    <w:rsid w:val="003F195E"/>
    <w:rsid w:val="003F1FED"/>
    <w:rsid w:val="003F5C90"/>
    <w:rsid w:val="003F5FEB"/>
    <w:rsid w:val="003F6270"/>
    <w:rsid w:val="00400613"/>
    <w:rsid w:val="004012A6"/>
    <w:rsid w:val="004014CA"/>
    <w:rsid w:val="00402112"/>
    <w:rsid w:val="0040299B"/>
    <w:rsid w:val="004035D4"/>
    <w:rsid w:val="00403F02"/>
    <w:rsid w:val="00405558"/>
    <w:rsid w:val="004068E2"/>
    <w:rsid w:val="00406A75"/>
    <w:rsid w:val="0041052C"/>
    <w:rsid w:val="004106CA"/>
    <w:rsid w:val="00411FE5"/>
    <w:rsid w:val="004125B5"/>
    <w:rsid w:val="00412823"/>
    <w:rsid w:val="00412919"/>
    <w:rsid w:val="00412F89"/>
    <w:rsid w:val="004132E3"/>
    <w:rsid w:val="0041380A"/>
    <w:rsid w:val="004140E8"/>
    <w:rsid w:val="00414A98"/>
    <w:rsid w:val="004163B9"/>
    <w:rsid w:val="0041700A"/>
    <w:rsid w:val="00417669"/>
    <w:rsid w:val="00417ECB"/>
    <w:rsid w:val="004202FB"/>
    <w:rsid w:val="00421CCB"/>
    <w:rsid w:val="0042235A"/>
    <w:rsid w:val="0042251A"/>
    <w:rsid w:val="00423E41"/>
    <w:rsid w:val="0042489A"/>
    <w:rsid w:val="00425474"/>
    <w:rsid w:val="004272E5"/>
    <w:rsid w:val="004279D1"/>
    <w:rsid w:val="0043087B"/>
    <w:rsid w:val="00431394"/>
    <w:rsid w:val="00432188"/>
    <w:rsid w:val="0043348E"/>
    <w:rsid w:val="00433D39"/>
    <w:rsid w:val="00434E78"/>
    <w:rsid w:val="0043595C"/>
    <w:rsid w:val="00436202"/>
    <w:rsid w:val="004368AA"/>
    <w:rsid w:val="00436ED2"/>
    <w:rsid w:val="00437511"/>
    <w:rsid w:val="00437D64"/>
    <w:rsid w:val="00443BA0"/>
    <w:rsid w:val="004444FB"/>
    <w:rsid w:val="00444DA6"/>
    <w:rsid w:val="00445CE6"/>
    <w:rsid w:val="00447960"/>
    <w:rsid w:val="004503F3"/>
    <w:rsid w:val="004512D9"/>
    <w:rsid w:val="004516B2"/>
    <w:rsid w:val="00452988"/>
    <w:rsid w:val="0045335C"/>
    <w:rsid w:val="00453574"/>
    <w:rsid w:val="00453788"/>
    <w:rsid w:val="00454137"/>
    <w:rsid w:val="00454401"/>
    <w:rsid w:val="0045462F"/>
    <w:rsid w:val="00454A43"/>
    <w:rsid w:val="004560D2"/>
    <w:rsid w:val="00456BDA"/>
    <w:rsid w:val="00456F78"/>
    <w:rsid w:val="0045733E"/>
    <w:rsid w:val="00461433"/>
    <w:rsid w:val="00461A96"/>
    <w:rsid w:val="00462055"/>
    <w:rsid w:val="004629C6"/>
    <w:rsid w:val="00463A0C"/>
    <w:rsid w:val="00464589"/>
    <w:rsid w:val="00464B78"/>
    <w:rsid w:val="00465689"/>
    <w:rsid w:val="0046707C"/>
    <w:rsid w:val="00467203"/>
    <w:rsid w:val="00470F3D"/>
    <w:rsid w:val="00471C72"/>
    <w:rsid w:val="00473985"/>
    <w:rsid w:val="00475263"/>
    <w:rsid w:val="00475E40"/>
    <w:rsid w:val="00477771"/>
    <w:rsid w:val="00480CBD"/>
    <w:rsid w:val="004811D4"/>
    <w:rsid w:val="00481213"/>
    <w:rsid w:val="00482A63"/>
    <w:rsid w:val="00485B74"/>
    <w:rsid w:val="004868A9"/>
    <w:rsid w:val="004877A0"/>
    <w:rsid w:val="00491FEC"/>
    <w:rsid w:val="004927E8"/>
    <w:rsid w:val="0049292E"/>
    <w:rsid w:val="00493152"/>
    <w:rsid w:val="00495446"/>
    <w:rsid w:val="004968DC"/>
    <w:rsid w:val="00496EDF"/>
    <w:rsid w:val="0049751E"/>
    <w:rsid w:val="004A1D5F"/>
    <w:rsid w:val="004A1E2C"/>
    <w:rsid w:val="004A2723"/>
    <w:rsid w:val="004A2AC8"/>
    <w:rsid w:val="004A2FE1"/>
    <w:rsid w:val="004A6C4B"/>
    <w:rsid w:val="004B2FA3"/>
    <w:rsid w:val="004B46DE"/>
    <w:rsid w:val="004B4D0B"/>
    <w:rsid w:val="004B659E"/>
    <w:rsid w:val="004B66D6"/>
    <w:rsid w:val="004B7C05"/>
    <w:rsid w:val="004C0EFD"/>
    <w:rsid w:val="004C1FBC"/>
    <w:rsid w:val="004C2418"/>
    <w:rsid w:val="004C2A12"/>
    <w:rsid w:val="004C2B91"/>
    <w:rsid w:val="004C2CD5"/>
    <w:rsid w:val="004C37A4"/>
    <w:rsid w:val="004C5409"/>
    <w:rsid w:val="004C646C"/>
    <w:rsid w:val="004D0D97"/>
    <w:rsid w:val="004D1121"/>
    <w:rsid w:val="004D1A84"/>
    <w:rsid w:val="004D35FA"/>
    <w:rsid w:val="004D3687"/>
    <w:rsid w:val="004D3C16"/>
    <w:rsid w:val="004D421D"/>
    <w:rsid w:val="004D4F5C"/>
    <w:rsid w:val="004D6997"/>
    <w:rsid w:val="004D6EE8"/>
    <w:rsid w:val="004D71A0"/>
    <w:rsid w:val="004D7899"/>
    <w:rsid w:val="004E1041"/>
    <w:rsid w:val="004E1DDE"/>
    <w:rsid w:val="004E4C03"/>
    <w:rsid w:val="004E71BB"/>
    <w:rsid w:val="004E7664"/>
    <w:rsid w:val="004F122E"/>
    <w:rsid w:val="004F168A"/>
    <w:rsid w:val="004F4AAB"/>
    <w:rsid w:val="004F5893"/>
    <w:rsid w:val="004F5B69"/>
    <w:rsid w:val="004F66CE"/>
    <w:rsid w:val="004F71F9"/>
    <w:rsid w:val="005000AF"/>
    <w:rsid w:val="00500C19"/>
    <w:rsid w:val="00500D17"/>
    <w:rsid w:val="00500DC8"/>
    <w:rsid w:val="0050118F"/>
    <w:rsid w:val="00504512"/>
    <w:rsid w:val="005062A9"/>
    <w:rsid w:val="0051102F"/>
    <w:rsid w:val="0051142E"/>
    <w:rsid w:val="00513F49"/>
    <w:rsid w:val="005148E2"/>
    <w:rsid w:val="00515A38"/>
    <w:rsid w:val="00515DA2"/>
    <w:rsid w:val="00516AC6"/>
    <w:rsid w:val="00517A63"/>
    <w:rsid w:val="005206D7"/>
    <w:rsid w:val="00520950"/>
    <w:rsid w:val="005218E0"/>
    <w:rsid w:val="00521CB1"/>
    <w:rsid w:val="00521DCF"/>
    <w:rsid w:val="005228F2"/>
    <w:rsid w:val="00522CEE"/>
    <w:rsid w:val="0052430F"/>
    <w:rsid w:val="00524E7D"/>
    <w:rsid w:val="0052572B"/>
    <w:rsid w:val="0052609C"/>
    <w:rsid w:val="0053051E"/>
    <w:rsid w:val="00531104"/>
    <w:rsid w:val="0053185C"/>
    <w:rsid w:val="00531F95"/>
    <w:rsid w:val="0053302D"/>
    <w:rsid w:val="005330E1"/>
    <w:rsid w:val="005353D8"/>
    <w:rsid w:val="00535664"/>
    <w:rsid w:val="00535B09"/>
    <w:rsid w:val="0054272D"/>
    <w:rsid w:val="00543118"/>
    <w:rsid w:val="005434EC"/>
    <w:rsid w:val="00543A7B"/>
    <w:rsid w:val="0054587F"/>
    <w:rsid w:val="005478C4"/>
    <w:rsid w:val="00550076"/>
    <w:rsid w:val="00550ADB"/>
    <w:rsid w:val="00551DF9"/>
    <w:rsid w:val="00552363"/>
    <w:rsid w:val="005527E5"/>
    <w:rsid w:val="005535C5"/>
    <w:rsid w:val="00554452"/>
    <w:rsid w:val="005551D6"/>
    <w:rsid w:val="00555C2B"/>
    <w:rsid w:val="005616EA"/>
    <w:rsid w:val="0056280B"/>
    <w:rsid w:val="005635C6"/>
    <w:rsid w:val="00563D91"/>
    <w:rsid w:val="005641E3"/>
    <w:rsid w:val="00564931"/>
    <w:rsid w:val="00566222"/>
    <w:rsid w:val="00566C20"/>
    <w:rsid w:val="00567919"/>
    <w:rsid w:val="00570188"/>
    <w:rsid w:val="00571ECF"/>
    <w:rsid w:val="00572065"/>
    <w:rsid w:val="00572277"/>
    <w:rsid w:val="00574ECD"/>
    <w:rsid w:val="00575270"/>
    <w:rsid w:val="00576B79"/>
    <w:rsid w:val="0057724B"/>
    <w:rsid w:val="005777B6"/>
    <w:rsid w:val="005779CC"/>
    <w:rsid w:val="0058170B"/>
    <w:rsid w:val="00581CE2"/>
    <w:rsid w:val="00581E31"/>
    <w:rsid w:val="005826E0"/>
    <w:rsid w:val="00582DEE"/>
    <w:rsid w:val="00584201"/>
    <w:rsid w:val="00585322"/>
    <w:rsid w:val="00586C40"/>
    <w:rsid w:val="005874E2"/>
    <w:rsid w:val="00587C38"/>
    <w:rsid w:val="00590037"/>
    <w:rsid w:val="0059247B"/>
    <w:rsid w:val="0059503B"/>
    <w:rsid w:val="0059527D"/>
    <w:rsid w:val="00595E83"/>
    <w:rsid w:val="005966E5"/>
    <w:rsid w:val="00596D0C"/>
    <w:rsid w:val="005A001C"/>
    <w:rsid w:val="005A119D"/>
    <w:rsid w:val="005A1DD4"/>
    <w:rsid w:val="005A2923"/>
    <w:rsid w:val="005A57E6"/>
    <w:rsid w:val="005A5C2B"/>
    <w:rsid w:val="005A791C"/>
    <w:rsid w:val="005A7BD1"/>
    <w:rsid w:val="005A7D7B"/>
    <w:rsid w:val="005B0D0E"/>
    <w:rsid w:val="005B1FAC"/>
    <w:rsid w:val="005B25C0"/>
    <w:rsid w:val="005B35B1"/>
    <w:rsid w:val="005B5027"/>
    <w:rsid w:val="005B6C86"/>
    <w:rsid w:val="005B7E38"/>
    <w:rsid w:val="005C072A"/>
    <w:rsid w:val="005C0781"/>
    <w:rsid w:val="005C22F8"/>
    <w:rsid w:val="005C5B2C"/>
    <w:rsid w:val="005C5BF0"/>
    <w:rsid w:val="005C5D88"/>
    <w:rsid w:val="005C613E"/>
    <w:rsid w:val="005C75D5"/>
    <w:rsid w:val="005C7DCB"/>
    <w:rsid w:val="005C7E01"/>
    <w:rsid w:val="005D0383"/>
    <w:rsid w:val="005D0814"/>
    <w:rsid w:val="005D0A58"/>
    <w:rsid w:val="005D3965"/>
    <w:rsid w:val="005D503D"/>
    <w:rsid w:val="005D5277"/>
    <w:rsid w:val="005D54FC"/>
    <w:rsid w:val="005D564C"/>
    <w:rsid w:val="005D7528"/>
    <w:rsid w:val="005D7B86"/>
    <w:rsid w:val="005E0E2C"/>
    <w:rsid w:val="005E182C"/>
    <w:rsid w:val="005E321A"/>
    <w:rsid w:val="005E3B3C"/>
    <w:rsid w:val="005E3B5D"/>
    <w:rsid w:val="005E3EE0"/>
    <w:rsid w:val="005E516D"/>
    <w:rsid w:val="005E6617"/>
    <w:rsid w:val="005E6832"/>
    <w:rsid w:val="005E7170"/>
    <w:rsid w:val="005E7DB4"/>
    <w:rsid w:val="005F1171"/>
    <w:rsid w:val="005F1378"/>
    <w:rsid w:val="005F1600"/>
    <w:rsid w:val="005F3618"/>
    <w:rsid w:val="005F699B"/>
    <w:rsid w:val="005F6E7A"/>
    <w:rsid w:val="005F7D4B"/>
    <w:rsid w:val="006000AE"/>
    <w:rsid w:val="006019E4"/>
    <w:rsid w:val="00603265"/>
    <w:rsid w:val="006037B3"/>
    <w:rsid w:val="006037FB"/>
    <w:rsid w:val="00604A11"/>
    <w:rsid w:val="006053F6"/>
    <w:rsid w:val="00605514"/>
    <w:rsid w:val="006075E6"/>
    <w:rsid w:val="006079B7"/>
    <w:rsid w:val="00607D02"/>
    <w:rsid w:val="006105D5"/>
    <w:rsid w:val="006106C9"/>
    <w:rsid w:val="00610A70"/>
    <w:rsid w:val="00613724"/>
    <w:rsid w:val="00614B60"/>
    <w:rsid w:val="006157CB"/>
    <w:rsid w:val="00616DEB"/>
    <w:rsid w:val="006171E9"/>
    <w:rsid w:val="00620E57"/>
    <w:rsid w:val="00621891"/>
    <w:rsid w:val="00621B0C"/>
    <w:rsid w:val="00621CBB"/>
    <w:rsid w:val="0062403D"/>
    <w:rsid w:val="0062451B"/>
    <w:rsid w:val="006260A5"/>
    <w:rsid w:val="006303CE"/>
    <w:rsid w:val="0063070B"/>
    <w:rsid w:val="006322B6"/>
    <w:rsid w:val="00633339"/>
    <w:rsid w:val="006333BC"/>
    <w:rsid w:val="00634C01"/>
    <w:rsid w:val="00635D2F"/>
    <w:rsid w:val="00636BAF"/>
    <w:rsid w:val="00636E72"/>
    <w:rsid w:val="00637BA6"/>
    <w:rsid w:val="006406DC"/>
    <w:rsid w:val="00641265"/>
    <w:rsid w:val="00641C48"/>
    <w:rsid w:val="00641F91"/>
    <w:rsid w:val="00642078"/>
    <w:rsid w:val="006447C6"/>
    <w:rsid w:val="00644DB3"/>
    <w:rsid w:val="0064525B"/>
    <w:rsid w:val="0064578C"/>
    <w:rsid w:val="006473BE"/>
    <w:rsid w:val="00647573"/>
    <w:rsid w:val="006511A4"/>
    <w:rsid w:val="00651E1F"/>
    <w:rsid w:val="00652D3B"/>
    <w:rsid w:val="00653454"/>
    <w:rsid w:val="006556A1"/>
    <w:rsid w:val="00655D93"/>
    <w:rsid w:val="006561F7"/>
    <w:rsid w:val="00656621"/>
    <w:rsid w:val="00657C4F"/>
    <w:rsid w:val="006609FD"/>
    <w:rsid w:val="00660A72"/>
    <w:rsid w:val="00662407"/>
    <w:rsid w:val="00663309"/>
    <w:rsid w:val="00663BA7"/>
    <w:rsid w:val="00664A69"/>
    <w:rsid w:val="00666AD6"/>
    <w:rsid w:val="00667581"/>
    <w:rsid w:val="00671312"/>
    <w:rsid w:val="0067278B"/>
    <w:rsid w:val="00672F99"/>
    <w:rsid w:val="0067311A"/>
    <w:rsid w:val="00674611"/>
    <w:rsid w:val="006746E6"/>
    <w:rsid w:val="00675A09"/>
    <w:rsid w:val="00675CF1"/>
    <w:rsid w:val="0068070D"/>
    <w:rsid w:val="006808C7"/>
    <w:rsid w:val="00686A21"/>
    <w:rsid w:val="00686EED"/>
    <w:rsid w:val="0068742A"/>
    <w:rsid w:val="006877B7"/>
    <w:rsid w:val="0069050C"/>
    <w:rsid w:val="00690CF8"/>
    <w:rsid w:val="00691D4C"/>
    <w:rsid w:val="00694E4C"/>
    <w:rsid w:val="006966AB"/>
    <w:rsid w:val="0069674B"/>
    <w:rsid w:val="00696A72"/>
    <w:rsid w:val="006972EB"/>
    <w:rsid w:val="00697519"/>
    <w:rsid w:val="006A02A2"/>
    <w:rsid w:val="006A1CBE"/>
    <w:rsid w:val="006A281F"/>
    <w:rsid w:val="006A4FFD"/>
    <w:rsid w:val="006A547C"/>
    <w:rsid w:val="006A762D"/>
    <w:rsid w:val="006B001C"/>
    <w:rsid w:val="006B0217"/>
    <w:rsid w:val="006B0428"/>
    <w:rsid w:val="006B1CE2"/>
    <w:rsid w:val="006B1F90"/>
    <w:rsid w:val="006B2BEA"/>
    <w:rsid w:val="006B3E4B"/>
    <w:rsid w:val="006B55D4"/>
    <w:rsid w:val="006B73D3"/>
    <w:rsid w:val="006C07F7"/>
    <w:rsid w:val="006C1493"/>
    <w:rsid w:val="006C15D2"/>
    <w:rsid w:val="006C202F"/>
    <w:rsid w:val="006C489B"/>
    <w:rsid w:val="006C66A8"/>
    <w:rsid w:val="006D1056"/>
    <w:rsid w:val="006D3479"/>
    <w:rsid w:val="006D3D6C"/>
    <w:rsid w:val="006D3F2B"/>
    <w:rsid w:val="006D4403"/>
    <w:rsid w:val="006D4DCB"/>
    <w:rsid w:val="006D6A28"/>
    <w:rsid w:val="006D6E87"/>
    <w:rsid w:val="006D7572"/>
    <w:rsid w:val="006E1EAF"/>
    <w:rsid w:val="006E3A96"/>
    <w:rsid w:val="006E40CD"/>
    <w:rsid w:val="006E4AFE"/>
    <w:rsid w:val="006E4C08"/>
    <w:rsid w:val="006E69A1"/>
    <w:rsid w:val="006E7E60"/>
    <w:rsid w:val="006F19D5"/>
    <w:rsid w:val="006F1CC1"/>
    <w:rsid w:val="006F23D3"/>
    <w:rsid w:val="006F3F63"/>
    <w:rsid w:val="006F47CA"/>
    <w:rsid w:val="006F5C54"/>
    <w:rsid w:val="006F7F31"/>
    <w:rsid w:val="007003A2"/>
    <w:rsid w:val="00703245"/>
    <w:rsid w:val="007045CA"/>
    <w:rsid w:val="00705A5B"/>
    <w:rsid w:val="00705F8C"/>
    <w:rsid w:val="007069FB"/>
    <w:rsid w:val="007073DE"/>
    <w:rsid w:val="00707EE3"/>
    <w:rsid w:val="0071133A"/>
    <w:rsid w:val="00713067"/>
    <w:rsid w:val="007131E7"/>
    <w:rsid w:val="00713392"/>
    <w:rsid w:val="007134F5"/>
    <w:rsid w:val="00713905"/>
    <w:rsid w:val="007155B6"/>
    <w:rsid w:val="00716720"/>
    <w:rsid w:val="00722285"/>
    <w:rsid w:val="00722AE4"/>
    <w:rsid w:val="00722E2D"/>
    <w:rsid w:val="007231AB"/>
    <w:rsid w:val="0072348F"/>
    <w:rsid w:val="0072488E"/>
    <w:rsid w:val="00725999"/>
    <w:rsid w:val="0072694B"/>
    <w:rsid w:val="007279BB"/>
    <w:rsid w:val="00727D9D"/>
    <w:rsid w:val="00730B36"/>
    <w:rsid w:val="007310BD"/>
    <w:rsid w:val="00732D75"/>
    <w:rsid w:val="00735E5F"/>
    <w:rsid w:val="007374AD"/>
    <w:rsid w:val="00737CE6"/>
    <w:rsid w:val="0074083F"/>
    <w:rsid w:val="00741CDA"/>
    <w:rsid w:val="00741FB7"/>
    <w:rsid w:val="00742498"/>
    <w:rsid w:val="0074271D"/>
    <w:rsid w:val="0074507B"/>
    <w:rsid w:val="00745DDF"/>
    <w:rsid w:val="00745F7E"/>
    <w:rsid w:val="00746164"/>
    <w:rsid w:val="00750213"/>
    <w:rsid w:val="007525DC"/>
    <w:rsid w:val="00752D80"/>
    <w:rsid w:val="00754C9F"/>
    <w:rsid w:val="00757DAE"/>
    <w:rsid w:val="00760A8F"/>
    <w:rsid w:val="00760B74"/>
    <w:rsid w:val="00760EDE"/>
    <w:rsid w:val="00762B13"/>
    <w:rsid w:val="007633F8"/>
    <w:rsid w:val="00763B9B"/>
    <w:rsid w:val="00764F44"/>
    <w:rsid w:val="00765C47"/>
    <w:rsid w:val="007663B7"/>
    <w:rsid w:val="00766F37"/>
    <w:rsid w:val="00767D7F"/>
    <w:rsid w:val="0077206E"/>
    <w:rsid w:val="00773491"/>
    <w:rsid w:val="0077372E"/>
    <w:rsid w:val="00774D1E"/>
    <w:rsid w:val="007752B5"/>
    <w:rsid w:val="00775E92"/>
    <w:rsid w:val="00776349"/>
    <w:rsid w:val="00777034"/>
    <w:rsid w:val="00777979"/>
    <w:rsid w:val="00782733"/>
    <w:rsid w:val="00783776"/>
    <w:rsid w:val="00784413"/>
    <w:rsid w:val="00785316"/>
    <w:rsid w:val="0078592D"/>
    <w:rsid w:val="00785B99"/>
    <w:rsid w:val="0078660E"/>
    <w:rsid w:val="00786B13"/>
    <w:rsid w:val="007918EE"/>
    <w:rsid w:val="00791AAC"/>
    <w:rsid w:val="007920DD"/>
    <w:rsid w:val="0079253A"/>
    <w:rsid w:val="00792553"/>
    <w:rsid w:val="0079376D"/>
    <w:rsid w:val="00793F5C"/>
    <w:rsid w:val="00794506"/>
    <w:rsid w:val="00794B72"/>
    <w:rsid w:val="007954C2"/>
    <w:rsid w:val="0079613A"/>
    <w:rsid w:val="00797E2B"/>
    <w:rsid w:val="007A0006"/>
    <w:rsid w:val="007A0D88"/>
    <w:rsid w:val="007A0F4A"/>
    <w:rsid w:val="007A15D7"/>
    <w:rsid w:val="007A2E39"/>
    <w:rsid w:val="007A3A7D"/>
    <w:rsid w:val="007A6213"/>
    <w:rsid w:val="007A6F8D"/>
    <w:rsid w:val="007A73C3"/>
    <w:rsid w:val="007B0447"/>
    <w:rsid w:val="007B0D59"/>
    <w:rsid w:val="007B1551"/>
    <w:rsid w:val="007B4821"/>
    <w:rsid w:val="007B4EB1"/>
    <w:rsid w:val="007B4F9A"/>
    <w:rsid w:val="007B71D8"/>
    <w:rsid w:val="007B760F"/>
    <w:rsid w:val="007C02C8"/>
    <w:rsid w:val="007C1090"/>
    <w:rsid w:val="007C1259"/>
    <w:rsid w:val="007C1269"/>
    <w:rsid w:val="007C4393"/>
    <w:rsid w:val="007C5AB0"/>
    <w:rsid w:val="007C5BDC"/>
    <w:rsid w:val="007C67AD"/>
    <w:rsid w:val="007C7813"/>
    <w:rsid w:val="007C7C55"/>
    <w:rsid w:val="007D467B"/>
    <w:rsid w:val="007E0E17"/>
    <w:rsid w:val="007E1BD3"/>
    <w:rsid w:val="007E1BF0"/>
    <w:rsid w:val="007E2003"/>
    <w:rsid w:val="007E3032"/>
    <w:rsid w:val="007E40B6"/>
    <w:rsid w:val="007E4476"/>
    <w:rsid w:val="007E4854"/>
    <w:rsid w:val="007E5174"/>
    <w:rsid w:val="007E70F5"/>
    <w:rsid w:val="007E741C"/>
    <w:rsid w:val="007E7548"/>
    <w:rsid w:val="007E7CFB"/>
    <w:rsid w:val="007E7E52"/>
    <w:rsid w:val="007F0543"/>
    <w:rsid w:val="007F0658"/>
    <w:rsid w:val="007F0E52"/>
    <w:rsid w:val="007F2E61"/>
    <w:rsid w:val="007F2FA5"/>
    <w:rsid w:val="007F3652"/>
    <w:rsid w:val="007F3926"/>
    <w:rsid w:val="007F5990"/>
    <w:rsid w:val="007F7066"/>
    <w:rsid w:val="007F7659"/>
    <w:rsid w:val="007F7CC1"/>
    <w:rsid w:val="008008BF"/>
    <w:rsid w:val="008021F2"/>
    <w:rsid w:val="008030FC"/>
    <w:rsid w:val="00803BA4"/>
    <w:rsid w:val="00804836"/>
    <w:rsid w:val="00805202"/>
    <w:rsid w:val="008059FE"/>
    <w:rsid w:val="00807BD3"/>
    <w:rsid w:val="0081278F"/>
    <w:rsid w:val="00813AEA"/>
    <w:rsid w:val="00813AF6"/>
    <w:rsid w:val="00813BDD"/>
    <w:rsid w:val="008147D3"/>
    <w:rsid w:val="00815316"/>
    <w:rsid w:val="00816822"/>
    <w:rsid w:val="008178F2"/>
    <w:rsid w:val="00821D38"/>
    <w:rsid w:val="0082212B"/>
    <w:rsid w:val="0082278E"/>
    <w:rsid w:val="00822BC3"/>
    <w:rsid w:val="00825E12"/>
    <w:rsid w:val="008263D9"/>
    <w:rsid w:val="00832527"/>
    <w:rsid w:val="00832DEB"/>
    <w:rsid w:val="00833340"/>
    <w:rsid w:val="008338B4"/>
    <w:rsid w:val="00834866"/>
    <w:rsid w:val="008352D9"/>
    <w:rsid w:val="00835349"/>
    <w:rsid w:val="0083579C"/>
    <w:rsid w:val="00837CA7"/>
    <w:rsid w:val="008400D4"/>
    <w:rsid w:val="008406FA"/>
    <w:rsid w:val="00840A01"/>
    <w:rsid w:val="0084140E"/>
    <w:rsid w:val="0084366D"/>
    <w:rsid w:val="008474B9"/>
    <w:rsid w:val="008478DC"/>
    <w:rsid w:val="00847A36"/>
    <w:rsid w:val="00850558"/>
    <w:rsid w:val="00850806"/>
    <w:rsid w:val="00850BA6"/>
    <w:rsid w:val="00850BF3"/>
    <w:rsid w:val="00851BD1"/>
    <w:rsid w:val="008550D5"/>
    <w:rsid w:val="00860A95"/>
    <w:rsid w:val="00860F7E"/>
    <w:rsid w:val="00861ACB"/>
    <w:rsid w:val="00861D3A"/>
    <w:rsid w:val="0086254C"/>
    <w:rsid w:val="00864485"/>
    <w:rsid w:val="00872001"/>
    <w:rsid w:val="0087634A"/>
    <w:rsid w:val="00876740"/>
    <w:rsid w:val="008769FD"/>
    <w:rsid w:val="00876AAA"/>
    <w:rsid w:val="00884BD7"/>
    <w:rsid w:val="00887CA5"/>
    <w:rsid w:val="00892D67"/>
    <w:rsid w:val="00893D26"/>
    <w:rsid w:val="0089403E"/>
    <w:rsid w:val="00897166"/>
    <w:rsid w:val="008A01F2"/>
    <w:rsid w:val="008A0789"/>
    <w:rsid w:val="008A306E"/>
    <w:rsid w:val="008A4BEB"/>
    <w:rsid w:val="008A7D7C"/>
    <w:rsid w:val="008B03FE"/>
    <w:rsid w:val="008B0838"/>
    <w:rsid w:val="008B0D5D"/>
    <w:rsid w:val="008B15A9"/>
    <w:rsid w:val="008B17ED"/>
    <w:rsid w:val="008B43C1"/>
    <w:rsid w:val="008B466C"/>
    <w:rsid w:val="008B52B0"/>
    <w:rsid w:val="008C0D19"/>
    <w:rsid w:val="008C13E6"/>
    <w:rsid w:val="008C1CAB"/>
    <w:rsid w:val="008C3609"/>
    <w:rsid w:val="008C4422"/>
    <w:rsid w:val="008C4476"/>
    <w:rsid w:val="008C475E"/>
    <w:rsid w:val="008C4B2B"/>
    <w:rsid w:val="008C4EBE"/>
    <w:rsid w:val="008C56F2"/>
    <w:rsid w:val="008C6FF2"/>
    <w:rsid w:val="008C729E"/>
    <w:rsid w:val="008C7502"/>
    <w:rsid w:val="008C7BC5"/>
    <w:rsid w:val="008D068D"/>
    <w:rsid w:val="008D0CEB"/>
    <w:rsid w:val="008D1C59"/>
    <w:rsid w:val="008D391B"/>
    <w:rsid w:val="008D4457"/>
    <w:rsid w:val="008D4B76"/>
    <w:rsid w:val="008D4C70"/>
    <w:rsid w:val="008D6A92"/>
    <w:rsid w:val="008D74CA"/>
    <w:rsid w:val="008D7A8C"/>
    <w:rsid w:val="008E2735"/>
    <w:rsid w:val="008E3497"/>
    <w:rsid w:val="008E3671"/>
    <w:rsid w:val="008E3884"/>
    <w:rsid w:val="008E39A5"/>
    <w:rsid w:val="008E4680"/>
    <w:rsid w:val="008E612F"/>
    <w:rsid w:val="008E7B8C"/>
    <w:rsid w:val="008F0282"/>
    <w:rsid w:val="008F0CD8"/>
    <w:rsid w:val="008F3246"/>
    <w:rsid w:val="008F431B"/>
    <w:rsid w:val="008F56F3"/>
    <w:rsid w:val="008F5D30"/>
    <w:rsid w:val="00900ABB"/>
    <w:rsid w:val="00900C6C"/>
    <w:rsid w:val="00902063"/>
    <w:rsid w:val="0090234C"/>
    <w:rsid w:val="00902AC0"/>
    <w:rsid w:val="00903C64"/>
    <w:rsid w:val="00903E12"/>
    <w:rsid w:val="00904E30"/>
    <w:rsid w:val="009050A4"/>
    <w:rsid w:val="00905DE7"/>
    <w:rsid w:val="009063B5"/>
    <w:rsid w:val="00906C42"/>
    <w:rsid w:val="009074BF"/>
    <w:rsid w:val="00910ED8"/>
    <w:rsid w:val="00912083"/>
    <w:rsid w:val="009123CA"/>
    <w:rsid w:val="00912553"/>
    <w:rsid w:val="0091445C"/>
    <w:rsid w:val="00916B75"/>
    <w:rsid w:val="00916F6C"/>
    <w:rsid w:val="0091727C"/>
    <w:rsid w:val="00917DF1"/>
    <w:rsid w:val="00920385"/>
    <w:rsid w:val="00920597"/>
    <w:rsid w:val="009207E5"/>
    <w:rsid w:val="00921150"/>
    <w:rsid w:val="00921A26"/>
    <w:rsid w:val="0092346A"/>
    <w:rsid w:val="00923CA9"/>
    <w:rsid w:val="00924367"/>
    <w:rsid w:val="009255CB"/>
    <w:rsid w:val="00925B5F"/>
    <w:rsid w:val="0092677B"/>
    <w:rsid w:val="00926C43"/>
    <w:rsid w:val="00926F7B"/>
    <w:rsid w:val="00927708"/>
    <w:rsid w:val="00927897"/>
    <w:rsid w:val="009301FA"/>
    <w:rsid w:val="00930963"/>
    <w:rsid w:val="00931046"/>
    <w:rsid w:val="009314FE"/>
    <w:rsid w:val="00933127"/>
    <w:rsid w:val="00933940"/>
    <w:rsid w:val="009339AB"/>
    <w:rsid w:val="00935226"/>
    <w:rsid w:val="00936AE2"/>
    <w:rsid w:val="00937F15"/>
    <w:rsid w:val="00937FC3"/>
    <w:rsid w:val="00940ACC"/>
    <w:rsid w:val="0094214A"/>
    <w:rsid w:val="00943B9E"/>
    <w:rsid w:val="009441D3"/>
    <w:rsid w:val="009441DB"/>
    <w:rsid w:val="00944C3A"/>
    <w:rsid w:val="00944CFB"/>
    <w:rsid w:val="00945015"/>
    <w:rsid w:val="00945B52"/>
    <w:rsid w:val="00947120"/>
    <w:rsid w:val="00947BC4"/>
    <w:rsid w:val="0095261B"/>
    <w:rsid w:val="00953188"/>
    <w:rsid w:val="00953BE3"/>
    <w:rsid w:val="009546D5"/>
    <w:rsid w:val="00954FEA"/>
    <w:rsid w:val="00955048"/>
    <w:rsid w:val="00955E5D"/>
    <w:rsid w:val="0095711F"/>
    <w:rsid w:val="00957845"/>
    <w:rsid w:val="00957B63"/>
    <w:rsid w:val="009606E1"/>
    <w:rsid w:val="00960D61"/>
    <w:rsid w:val="00963EDE"/>
    <w:rsid w:val="00964586"/>
    <w:rsid w:val="00966702"/>
    <w:rsid w:val="00971143"/>
    <w:rsid w:val="00971632"/>
    <w:rsid w:val="00971CC8"/>
    <w:rsid w:val="00972FB1"/>
    <w:rsid w:val="00973C2B"/>
    <w:rsid w:val="00973CB5"/>
    <w:rsid w:val="00973CB9"/>
    <w:rsid w:val="00974BBC"/>
    <w:rsid w:val="00976F98"/>
    <w:rsid w:val="0097787B"/>
    <w:rsid w:val="0098158E"/>
    <w:rsid w:val="009819FE"/>
    <w:rsid w:val="0098346E"/>
    <w:rsid w:val="0098715A"/>
    <w:rsid w:val="00987ACB"/>
    <w:rsid w:val="00990AED"/>
    <w:rsid w:val="00990C4F"/>
    <w:rsid w:val="00990ED2"/>
    <w:rsid w:val="00991AB8"/>
    <w:rsid w:val="00991B6B"/>
    <w:rsid w:val="0099209F"/>
    <w:rsid w:val="009947B5"/>
    <w:rsid w:val="00994826"/>
    <w:rsid w:val="00995E88"/>
    <w:rsid w:val="009A0B4B"/>
    <w:rsid w:val="009A2FDB"/>
    <w:rsid w:val="009A38F8"/>
    <w:rsid w:val="009A421E"/>
    <w:rsid w:val="009A458A"/>
    <w:rsid w:val="009A4F70"/>
    <w:rsid w:val="009A5BBC"/>
    <w:rsid w:val="009A5FE7"/>
    <w:rsid w:val="009A7019"/>
    <w:rsid w:val="009B0761"/>
    <w:rsid w:val="009B147B"/>
    <w:rsid w:val="009B28F5"/>
    <w:rsid w:val="009B2BBA"/>
    <w:rsid w:val="009B2D6C"/>
    <w:rsid w:val="009B4E87"/>
    <w:rsid w:val="009B52FB"/>
    <w:rsid w:val="009B6D29"/>
    <w:rsid w:val="009C0030"/>
    <w:rsid w:val="009C0DE4"/>
    <w:rsid w:val="009C28EF"/>
    <w:rsid w:val="009C433E"/>
    <w:rsid w:val="009C56CC"/>
    <w:rsid w:val="009C571F"/>
    <w:rsid w:val="009C59F4"/>
    <w:rsid w:val="009C6618"/>
    <w:rsid w:val="009C66C2"/>
    <w:rsid w:val="009C6CAA"/>
    <w:rsid w:val="009D096E"/>
    <w:rsid w:val="009D0A69"/>
    <w:rsid w:val="009D169B"/>
    <w:rsid w:val="009D2028"/>
    <w:rsid w:val="009D67F4"/>
    <w:rsid w:val="009D7FEA"/>
    <w:rsid w:val="009E29CE"/>
    <w:rsid w:val="009E4188"/>
    <w:rsid w:val="009F184F"/>
    <w:rsid w:val="009F1CA7"/>
    <w:rsid w:val="009F3018"/>
    <w:rsid w:val="009F30C9"/>
    <w:rsid w:val="009F3E64"/>
    <w:rsid w:val="009F472D"/>
    <w:rsid w:val="009F512B"/>
    <w:rsid w:val="009F5F14"/>
    <w:rsid w:val="009F650F"/>
    <w:rsid w:val="009F6C06"/>
    <w:rsid w:val="009F7FFA"/>
    <w:rsid w:val="00A05E48"/>
    <w:rsid w:val="00A06382"/>
    <w:rsid w:val="00A07503"/>
    <w:rsid w:val="00A07622"/>
    <w:rsid w:val="00A07C65"/>
    <w:rsid w:val="00A1100E"/>
    <w:rsid w:val="00A1144A"/>
    <w:rsid w:val="00A11A67"/>
    <w:rsid w:val="00A11CEC"/>
    <w:rsid w:val="00A120A5"/>
    <w:rsid w:val="00A12A5A"/>
    <w:rsid w:val="00A13ACC"/>
    <w:rsid w:val="00A16746"/>
    <w:rsid w:val="00A16A40"/>
    <w:rsid w:val="00A16EBF"/>
    <w:rsid w:val="00A20CEE"/>
    <w:rsid w:val="00A24257"/>
    <w:rsid w:val="00A24DAE"/>
    <w:rsid w:val="00A25283"/>
    <w:rsid w:val="00A25DD5"/>
    <w:rsid w:val="00A26091"/>
    <w:rsid w:val="00A2664A"/>
    <w:rsid w:val="00A3022C"/>
    <w:rsid w:val="00A32E68"/>
    <w:rsid w:val="00A348F3"/>
    <w:rsid w:val="00A41F61"/>
    <w:rsid w:val="00A43757"/>
    <w:rsid w:val="00A43B0E"/>
    <w:rsid w:val="00A4463D"/>
    <w:rsid w:val="00A4469A"/>
    <w:rsid w:val="00A45453"/>
    <w:rsid w:val="00A45662"/>
    <w:rsid w:val="00A45F28"/>
    <w:rsid w:val="00A467C2"/>
    <w:rsid w:val="00A46C5D"/>
    <w:rsid w:val="00A4708E"/>
    <w:rsid w:val="00A47EA8"/>
    <w:rsid w:val="00A5092F"/>
    <w:rsid w:val="00A516B5"/>
    <w:rsid w:val="00A52B68"/>
    <w:rsid w:val="00A54554"/>
    <w:rsid w:val="00A54F6D"/>
    <w:rsid w:val="00A554C6"/>
    <w:rsid w:val="00A56301"/>
    <w:rsid w:val="00A60749"/>
    <w:rsid w:val="00A6132A"/>
    <w:rsid w:val="00A63B53"/>
    <w:rsid w:val="00A63F65"/>
    <w:rsid w:val="00A669C5"/>
    <w:rsid w:val="00A70394"/>
    <w:rsid w:val="00A706FC"/>
    <w:rsid w:val="00A707DE"/>
    <w:rsid w:val="00A71363"/>
    <w:rsid w:val="00A7189B"/>
    <w:rsid w:val="00A72A44"/>
    <w:rsid w:val="00A72D84"/>
    <w:rsid w:val="00A75323"/>
    <w:rsid w:val="00A756CF"/>
    <w:rsid w:val="00A75B76"/>
    <w:rsid w:val="00A7623D"/>
    <w:rsid w:val="00A778D7"/>
    <w:rsid w:val="00A77A61"/>
    <w:rsid w:val="00A80004"/>
    <w:rsid w:val="00A80207"/>
    <w:rsid w:val="00A8022C"/>
    <w:rsid w:val="00A80B9F"/>
    <w:rsid w:val="00A81383"/>
    <w:rsid w:val="00A82288"/>
    <w:rsid w:val="00A82B51"/>
    <w:rsid w:val="00A86227"/>
    <w:rsid w:val="00A87F67"/>
    <w:rsid w:val="00A9082A"/>
    <w:rsid w:val="00A9102A"/>
    <w:rsid w:val="00A91475"/>
    <w:rsid w:val="00A918D6"/>
    <w:rsid w:val="00A9202B"/>
    <w:rsid w:val="00A945B6"/>
    <w:rsid w:val="00A95099"/>
    <w:rsid w:val="00A95A97"/>
    <w:rsid w:val="00A95C2A"/>
    <w:rsid w:val="00A965A0"/>
    <w:rsid w:val="00AA0A4B"/>
    <w:rsid w:val="00AA123D"/>
    <w:rsid w:val="00AA3485"/>
    <w:rsid w:val="00AA3FE0"/>
    <w:rsid w:val="00AA5A81"/>
    <w:rsid w:val="00AA5C37"/>
    <w:rsid w:val="00AA6152"/>
    <w:rsid w:val="00AA6BD5"/>
    <w:rsid w:val="00AA6FB3"/>
    <w:rsid w:val="00AB0CDE"/>
    <w:rsid w:val="00AB2329"/>
    <w:rsid w:val="00AB30D8"/>
    <w:rsid w:val="00AB32E6"/>
    <w:rsid w:val="00AB416A"/>
    <w:rsid w:val="00AB4B30"/>
    <w:rsid w:val="00AB545D"/>
    <w:rsid w:val="00AB5D55"/>
    <w:rsid w:val="00AB62F2"/>
    <w:rsid w:val="00AC419F"/>
    <w:rsid w:val="00AC4200"/>
    <w:rsid w:val="00AC5142"/>
    <w:rsid w:val="00AC5391"/>
    <w:rsid w:val="00AC5952"/>
    <w:rsid w:val="00AC6196"/>
    <w:rsid w:val="00AD0681"/>
    <w:rsid w:val="00AD14A4"/>
    <w:rsid w:val="00AD1739"/>
    <w:rsid w:val="00AD2751"/>
    <w:rsid w:val="00AD299C"/>
    <w:rsid w:val="00AD3F86"/>
    <w:rsid w:val="00AD4929"/>
    <w:rsid w:val="00AD4945"/>
    <w:rsid w:val="00AD4F39"/>
    <w:rsid w:val="00AD5142"/>
    <w:rsid w:val="00AD60E6"/>
    <w:rsid w:val="00AD6EC4"/>
    <w:rsid w:val="00AD6F8A"/>
    <w:rsid w:val="00AE0CC6"/>
    <w:rsid w:val="00AE3872"/>
    <w:rsid w:val="00AE3A24"/>
    <w:rsid w:val="00AE4D1C"/>
    <w:rsid w:val="00AE5F2C"/>
    <w:rsid w:val="00AE6A6A"/>
    <w:rsid w:val="00AF0685"/>
    <w:rsid w:val="00AF3256"/>
    <w:rsid w:val="00AF5067"/>
    <w:rsid w:val="00AF5188"/>
    <w:rsid w:val="00AF658E"/>
    <w:rsid w:val="00AF695B"/>
    <w:rsid w:val="00AF7F74"/>
    <w:rsid w:val="00B00CF3"/>
    <w:rsid w:val="00B00D50"/>
    <w:rsid w:val="00B02197"/>
    <w:rsid w:val="00B025B5"/>
    <w:rsid w:val="00B02628"/>
    <w:rsid w:val="00B03AB2"/>
    <w:rsid w:val="00B03D78"/>
    <w:rsid w:val="00B04548"/>
    <w:rsid w:val="00B04691"/>
    <w:rsid w:val="00B06816"/>
    <w:rsid w:val="00B06C73"/>
    <w:rsid w:val="00B06CBE"/>
    <w:rsid w:val="00B07066"/>
    <w:rsid w:val="00B07234"/>
    <w:rsid w:val="00B0797A"/>
    <w:rsid w:val="00B11000"/>
    <w:rsid w:val="00B114F0"/>
    <w:rsid w:val="00B11680"/>
    <w:rsid w:val="00B12554"/>
    <w:rsid w:val="00B1392F"/>
    <w:rsid w:val="00B13ADA"/>
    <w:rsid w:val="00B13F91"/>
    <w:rsid w:val="00B1585A"/>
    <w:rsid w:val="00B15A2E"/>
    <w:rsid w:val="00B174F3"/>
    <w:rsid w:val="00B17C57"/>
    <w:rsid w:val="00B17DA6"/>
    <w:rsid w:val="00B20862"/>
    <w:rsid w:val="00B24A75"/>
    <w:rsid w:val="00B3062A"/>
    <w:rsid w:val="00B31B35"/>
    <w:rsid w:val="00B31B7E"/>
    <w:rsid w:val="00B32495"/>
    <w:rsid w:val="00B32D85"/>
    <w:rsid w:val="00B339B5"/>
    <w:rsid w:val="00B3457B"/>
    <w:rsid w:val="00B34A5C"/>
    <w:rsid w:val="00B3513E"/>
    <w:rsid w:val="00B35A38"/>
    <w:rsid w:val="00B3697C"/>
    <w:rsid w:val="00B40CC1"/>
    <w:rsid w:val="00B41896"/>
    <w:rsid w:val="00B4194C"/>
    <w:rsid w:val="00B41DFE"/>
    <w:rsid w:val="00B427D8"/>
    <w:rsid w:val="00B4316E"/>
    <w:rsid w:val="00B433C7"/>
    <w:rsid w:val="00B44CBE"/>
    <w:rsid w:val="00B46EE5"/>
    <w:rsid w:val="00B47FD2"/>
    <w:rsid w:val="00B50EE0"/>
    <w:rsid w:val="00B514F1"/>
    <w:rsid w:val="00B528C0"/>
    <w:rsid w:val="00B53104"/>
    <w:rsid w:val="00B53BF3"/>
    <w:rsid w:val="00B5617A"/>
    <w:rsid w:val="00B565B5"/>
    <w:rsid w:val="00B56AE7"/>
    <w:rsid w:val="00B61C40"/>
    <w:rsid w:val="00B624C8"/>
    <w:rsid w:val="00B62E68"/>
    <w:rsid w:val="00B63A29"/>
    <w:rsid w:val="00B646C7"/>
    <w:rsid w:val="00B65494"/>
    <w:rsid w:val="00B65FF4"/>
    <w:rsid w:val="00B66657"/>
    <w:rsid w:val="00B701D8"/>
    <w:rsid w:val="00B70374"/>
    <w:rsid w:val="00B71720"/>
    <w:rsid w:val="00B718A2"/>
    <w:rsid w:val="00B71B7F"/>
    <w:rsid w:val="00B72E24"/>
    <w:rsid w:val="00B72F6F"/>
    <w:rsid w:val="00B733BE"/>
    <w:rsid w:val="00B73723"/>
    <w:rsid w:val="00B74151"/>
    <w:rsid w:val="00B74536"/>
    <w:rsid w:val="00B81124"/>
    <w:rsid w:val="00B83B99"/>
    <w:rsid w:val="00B83E13"/>
    <w:rsid w:val="00B845A7"/>
    <w:rsid w:val="00B86F33"/>
    <w:rsid w:val="00B91959"/>
    <w:rsid w:val="00B93CA7"/>
    <w:rsid w:val="00B93E2F"/>
    <w:rsid w:val="00B94A4C"/>
    <w:rsid w:val="00B94B04"/>
    <w:rsid w:val="00B97769"/>
    <w:rsid w:val="00BA0334"/>
    <w:rsid w:val="00BA06DB"/>
    <w:rsid w:val="00BA07D9"/>
    <w:rsid w:val="00BA0FC5"/>
    <w:rsid w:val="00BA15F5"/>
    <w:rsid w:val="00BA1759"/>
    <w:rsid w:val="00BA332F"/>
    <w:rsid w:val="00BA3EE6"/>
    <w:rsid w:val="00BA3F3D"/>
    <w:rsid w:val="00BA4FA9"/>
    <w:rsid w:val="00BA5047"/>
    <w:rsid w:val="00BB02A7"/>
    <w:rsid w:val="00BB17CF"/>
    <w:rsid w:val="00BB2916"/>
    <w:rsid w:val="00BB2BB6"/>
    <w:rsid w:val="00BB2BD3"/>
    <w:rsid w:val="00BB2CF9"/>
    <w:rsid w:val="00BB2E42"/>
    <w:rsid w:val="00BB41A2"/>
    <w:rsid w:val="00BB5643"/>
    <w:rsid w:val="00BB5886"/>
    <w:rsid w:val="00BB5B62"/>
    <w:rsid w:val="00BB7991"/>
    <w:rsid w:val="00BB7AFB"/>
    <w:rsid w:val="00BB7BC2"/>
    <w:rsid w:val="00BC3D69"/>
    <w:rsid w:val="00BC3DCF"/>
    <w:rsid w:val="00BC3E94"/>
    <w:rsid w:val="00BC450E"/>
    <w:rsid w:val="00BC4A9F"/>
    <w:rsid w:val="00BC5413"/>
    <w:rsid w:val="00BC6328"/>
    <w:rsid w:val="00BC647D"/>
    <w:rsid w:val="00BD09D9"/>
    <w:rsid w:val="00BD0BAB"/>
    <w:rsid w:val="00BD1927"/>
    <w:rsid w:val="00BD24BC"/>
    <w:rsid w:val="00BD376C"/>
    <w:rsid w:val="00BD3C9F"/>
    <w:rsid w:val="00BD5CA4"/>
    <w:rsid w:val="00BD6386"/>
    <w:rsid w:val="00BD6C90"/>
    <w:rsid w:val="00BE30E0"/>
    <w:rsid w:val="00BE3210"/>
    <w:rsid w:val="00BE6B67"/>
    <w:rsid w:val="00BE7471"/>
    <w:rsid w:val="00BE7E4E"/>
    <w:rsid w:val="00BF0EFE"/>
    <w:rsid w:val="00BF16A3"/>
    <w:rsid w:val="00BF332E"/>
    <w:rsid w:val="00BF33A1"/>
    <w:rsid w:val="00BF3F40"/>
    <w:rsid w:val="00BF48F7"/>
    <w:rsid w:val="00BF4FC5"/>
    <w:rsid w:val="00BF558A"/>
    <w:rsid w:val="00BF78CB"/>
    <w:rsid w:val="00BF7D70"/>
    <w:rsid w:val="00C011A4"/>
    <w:rsid w:val="00C01660"/>
    <w:rsid w:val="00C0234D"/>
    <w:rsid w:val="00C0251B"/>
    <w:rsid w:val="00C02884"/>
    <w:rsid w:val="00C02962"/>
    <w:rsid w:val="00C043AD"/>
    <w:rsid w:val="00C04876"/>
    <w:rsid w:val="00C05D15"/>
    <w:rsid w:val="00C07C32"/>
    <w:rsid w:val="00C07C38"/>
    <w:rsid w:val="00C11AA4"/>
    <w:rsid w:val="00C13908"/>
    <w:rsid w:val="00C15300"/>
    <w:rsid w:val="00C159A1"/>
    <w:rsid w:val="00C16E64"/>
    <w:rsid w:val="00C17884"/>
    <w:rsid w:val="00C17B0B"/>
    <w:rsid w:val="00C17BD1"/>
    <w:rsid w:val="00C21030"/>
    <w:rsid w:val="00C24710"/>
    <w:rsid w:val="00C249FD"/>
    <w:rsid w:val="00C256AA"/>
    <w:rsid w:val="00C25835"/>
    <w:rsid w:val="00C25B79"/>
    <w:rsid w:val="00C27525"/>
    <w:rsid w:val="00C27C1A"/>
    <w:rsid w:val="00C309C9"/>
    <w:rsid w:val="00C30A4C"/>
    <w:rsid w:val="00C30D00"/>
    <w:rsid w:val="00C31843"/>
    <w:rsid w:val="00C32824"/>
    <w:rsid w:val="00C35344"/>
    <w:rsid w:val="00C42115"/>
    <w:rsid w:val="00C4618C"/>
    <w:rsid w:val="00C462C2"/>
    <w:rsid w:val="00C50A54"/>
    <w:rsid w:val="00C50B5B"/>
    <w:rsid w:val="00C51DD8"/>
    <w:rsid w:val="00C52108"/>
    <w:rsid w:val="00C53ED0"/>
    <w:rsid w:val="00C55284"/>
    <w:rsid w:val="00C5586F"/>
    <w:rsid w:val="00C55CC7"/>
    <w:rsid w:val="00C55FE8"/>
    <w:rsid w:val="00C5680A"/>
    <w:rsid w:val="00C60A70"/>
    <w:rsid w:val="00C616B1"/>
    <w:rsid w:val="00C61C0B"/>
    <w:rsid w:val="00C6280A"/>
    <w:rsid w:val="00C63321"/>
    <w:rsid w:val="00C63C26"/>
    <w:rsid w:val="00C63DB1"/>
    <w:rsid w:val="00C649AA"/>
    <w:rsid w:val="00C65961"/>
    <w:rsid w:val="00C65CD2"/>
    <w:rsid w:val="00C65FE6"/>
    <w:rsid w:val="00C6726A"/>
    <w:rsid w:val="00C67426"/>
    <w:rsid w:val="00C67E3E"/>
    <w:rsid w:val="00C70375"/>
    <w:rsid w:val="00C704B3"/>
    <w:rsid w:val="00C70F3F"/>
    <w:rsid w:val="00C77746"/>
    <w:rsid w:val="00C80BB5"/>
    <w:rsid w:val="00C8119A"/>
    <w:rsid w:val="00C81324"/>
    <w:rsid w:val="00C81462"/>
    <w:rsid w:val="00C85A27"/>
    <w:rsid w:val="00C86531"/>
    <w:rsid w:val="00C86F95"/>
    <w:rsid w:val="00C87FF9"/>
    <w:rsid w:val="00C9230E"/>
    <w:rsid w:val="00C93EA6"/>
    <w:rsid w:val="00C94B81"/>
    <w:rsid w:val="00C96F57"/>
    <w:rsid w:val="00CA0ECD"/>
    <w:rsid w:val="00CA209A"/>
    <w:rsid w:val="00CA3531"/>
    <w:rsid w:val="00CA356B"/>
    <w:rsid w:val="00CA4EA6"/>
    <w:rsid w:val="00CA686B"/>
    <w:rsid w:val="00CA7B92"/>
    <w:rsid w:val="00CB0C6C"/>
    <w:rsid w:val="00CB1534"/>
    <w:rsid w:val="00CB380A"/>
    <w:rsid w:val="00CB635C"/>
    <w:rsid w:val="00CB6502"/>
    <w:rsid w:val="00CB7076"/>
    <w:rsid w:val="00CB7363"/>
    <w:rsid w:val="00CB7ACC"/>
    <w:rsid w:val="00CC29E8"/>
    <w:rsid w:val="00CC3FD9"/>
    <w:rsid w:val="00CC44E3"/>
    <w:rsid w:val="00CC4FE3"/>
    <w:rsid w:val="00CC70EC"/>
    <w:rsid w:val="00CC7595"/>
    <w:rsid w:val="00CD1F33"/>
    <w:rsid w:val="00CD283B"/>
    <w:rsid w:val="00CD33EE"/>
    <w:rsid w:val="00CD4EDC"/>
    <w:rsid w:val="00CD536B"/>
    <w:rsid w:val="00CD636C"/>
    <w:rsid w:val="00CD64F4"/>
    <w:rsid w:val="00CE0181"/>
    <w:rsid w:val="00CE308E"/>
    <w:rsid w:val="00CE3446"/>
    <w:rsid w:val="00CE454C"/>
    <w:rsid w:val="00CE5212"/>
    <w:rsid w:val="00CE7E5E"/>
    <w:rsid w:val="00CE7E65"/>
    <w:rsid w:val="00CF0985"/>
    <w:rsid w:val="00CF1753"/>
    <w:rsid w:val="00CF1757"/>
    <w:rsid w:val="00CF238C"/>
    <w:rsid w:val="00CF245D"/>
    <w:rsid w:val="00CF344B"/>
    <w:rsid w:val="00CF3B0D"/>
    <w:rsid w:val="00CF452B"/>
    <w:rsid w:val="00CF70F1"/>
    <w:rsid w:val="00CF7814"/>
    <w:rsid w:val="00D00381"/>
    <w:rsid w:val="00D00474"/>
    <w:rsid w:val="00D00D46"/>
    <w:rsid w:val="00D02C69"/>
    <w:rsid w:val="00D0368B"/>
    <w:rsid w:val="00D04FA9"/>
    <w:rsid w:val="00D050BD"/>
    <w:rsid w:val="00D05AC8"/>
    <w:rsid w:val="00D05B43"/>
    <w:rsid w:val="00D05C08"/>
    <w:rsid w:val="00D05F46"/>
    <w:rsid w:val="00D062D5"/>
    <w:rsid w:val="00D07A27"/>
    <w:rsid w:val="00D10781"/>
    <w:rsid w:val="00D119E4"/>
    <w:rsid w:val="00D16903"/>
    <w:rsid w:val="00D1750F"/>
    <w:rsid w:val="00D20016"/>
    <w:rsid w:val="00D2012D"/>
    <w:rsid w:val="00D203C9"/>
    <w:rsid w:val="00D21A80"/>
    <w:rsid w:val="00D23B01"/>
    <w:rsid w:val="00D24B01"/>
    <w:rsid w:val="00D25BE7"/>
    <w:rsid w:val="00D31008"/>
    <w:rsid w:val="00D34161"/>
    <w:rsid w:val="00D35758"/>
    <w:rsid w:val="00D379FF"/>
    <w:rsid w:val="00D42CA7"/>
    <w:rsid w:val="00D45060"/>
    <w:rsid w:val="00D47164"/>
    <w:rsid w:val="00D4750F"/>
    <w:rsid w:val="00D4775B"/>
    <w:rsid w:val="00D502D5"/>
    <w:rsid w:val="00D50B3F"/>
    <w:rsid w:val="00D521A8"/>
    <w:rsid w:val="00D523C5"/>
    <w:rsid w:val="00D525F8"/>
    <w:rsid w:val="00D537B3"/>
    <w:rsid w:val="00D5389F"/>
    <w:rsid w:val="00D53A03"/>
    <w:rsid w:val="00D54B96"/>
    <w:rsid w:val="00D55A1E"/>
    <w:rsid w:val="00D57E83"/>
    <w:rsid w:val="00D60125"/>
    <w:rsid w:val="00D61B78"/>
    <w:rsid w:val="00D62084"/>
    <w:rsid w:val="00D62271"/>
    <w:rsid w:val="00D631B7"/>
    <w:rsid w:val="00D6368B"/>
    <w:rsid w:val="00D63D1A"/>
    <w:rsid w:val="00D64096"/>
    <w:rsid w:val="00D64370"/>
    <w:rsid w:val="00D64DF7"/>
    <w:rsid w:val="00D64E7B"/>
    <w:rsid w:val="00D65780"/>
    <w:rsid w:val="00D70654"/>
    <w:rsid w:val="00D708DE"/>
    <w:rsid w:val="00D7179A"/>
    <w:rsid w:val="00D71C64"/>
    <w:rsid w:val="00D71E7D"/>
    <w:rsid w:val="00D720CA"/>
    <w:rsid w:val="00D72610"/>
    <w:rsid w:val="00D72AE8"/>
    <w:rsid w:val="00D7332B"/>
    <w:rsid w:val="00D7406D"/>
    <w:rsid w:val="00D75FE5"/>
    <w:rsid w:val="00D768C0"/>
    <w:rsid w:val="00D77DDA"/>
    <w:rsid w:val="00D828DA"/>
    <w:rsid w:val="00D82CC7"/>
    <w:rsid w:val="00D85883"/>
    <w:rsid w:val="00D85AB8"/>
    <w:rsid w:val="00D86937"/>
    <w:rsid w:val="00D878C5"/>
    <w:rsid w:val="00D90E0A"/>
    <w:rsid w:val="00D9270B"/>
    <w:rsid w:val="00D948E9"/>
    <w:rsid w:val="00DA0D0B"/>
    <w:rsid w:val="00DA11F4"/>
    <w:rsid w:val="00DA2865"/>
    <w:rsid w:val="00DA33E8"/>
    <w:rsid w:val="00DA421E"/>
    <w:rsid w:val="00DA56B6"/>
    <w:rsid w:val="00DA6D52"/>
    <w:rsid w:val="00DA74B7"/>
    <w:rsid w:val="00DA7BD6"/>
    <w:rsid w:val="00DB03B0"/>
    <w:rsid w:val="00DB0DC0"/>
    <w:rsid w:val="00DB0E02"/>
    <w:rsid w:val="00DB269B"/>
    <w:rsid w:val="00DB294D"/>
    <w:rsid w:val="00DB2A4B"/>
    <w:rsid w:val="00DB4954"/>
    <w:rsid w:val="00DB4976"/>
    <w:rsid w:val="00DB4C25"/>
    <w:rsid w:val="00DB54A8"/>
    <w:rsid w:val="00DB5929"/>
    <w:rsid w:val="00DB676B"/>
    <w:rsid w:val="00DB6F1B"/>
    <w:rsid w:val="00DC1D40"/>
    <w:rsid w:val="00DC2341"/>
    <w:rsid w:val="00DC25C9"/>
    <w:rsid w:val="00DC2F69"/>
    <w:rsid w:val="00DC2F90"/>
    <w:rsid w:val="00DC359D"/>
    <w:rsid w:val="00DC4450"/>
    <w:rsid w:val="00DC4676"/>
    <w:rsid w:val="00DC4B52"/>
    <w:rsid w:val="00DC5F78"/>
    <w:rsid w:val="00DC7357"/>
    <w:rsid w:val="00DC761E"/>
    <w:rsid w:val="00DD1D97"/>
    <w:rsid w:val="00DD3974"/>
    <w:rsid w:val="00DD439C"/>
    <w:rsid w:val="00DD4C44"/>
    <w:rsid w:val="00DD5F47"/>
    <w:rsid w:val="00DD6201"/>
    <w:rsid w:val="00DD7438"/>
    <w:rsid w:val="00DD7FAB"/>
    <w:rsid w:val="00DE0235"/>
    <w:rsid w:val="00DE15BF"/>
    <w:rsid w:val="00DE2819"/>
    <w:rsid w:val="00DE3FAC"/>
    <w:rsid w:val="00DE40AD"/>
    <w:rsid w:val="00DE4322"/>
    <w:rsid w:val="00DE7E29"/>
    <w:rsid w:val="00DF1F12"/>
    <w:rsid w:val="00DF496E"/>
    <w:rsid w:val="00DF4A19"/>
    <w:rsid w:val="00DF5D0C"/>
    <w:rsid w:val="00DF6D32"/>
    <w:rsid w:val="00E002F3"/>
    <w:rsid w:val="00E0197F"/>
    <w:rsid w:val="00E041AD"/>
    <w:rsid w:val="00E04DF0"/>
    <w:rsid w:val="00E05359"/>
    <w:rsid w:val="00E062D2"/>
    <w:rsid w:val="00E06B8F"/>
    <w:rsid w:val="00E079B8"/>
    <w:rsid w:val="00E07DE3"/>
    <w:rsid w:val="00E1171A"/>
    <w:rsid w:val="00E147A3"/>
    <w:rsid w:val="00E15B3D"/>
    <w:rsid w:val="00E16661"/>
    <w:rsid w:val="00E170AB"/>
    <w:rsid w:val="00E2075C"/>
    <w:rsid w:val="00E20AE1"/>
    <w:rsid w:val="00E21877"/>
    <w:rsid w:val="00E22B88"/>
    <w:rsid w:val="00E2364C"/>
    <w:rsid w:val="00E23BDF"/>
    <w:rsid w:val="00E2404F"/>
    <w:rsid w:val="00E241D0"/>
    <w:rsid w:val="00E26B50"/>
    <w:rsid w:val="00E26C89"/>
    <w:rsid w:val="00E26DA4"/>
    <w:rsid w:val="00E2715A"/>
    <w:rsid w:val="00E273AA"/>
    <w:rsid w:val="00E2746B"/>
    <w:rsid w:val="00E277AA"/>
    <w:rsid w:val="00E30565"/>
    <w:rsid w:val="00E31C29"/>
    <w:rsid w:val="00E32D66"/>
    <w:rsid w:val="00E335A4"/>
    <w:rsid w:val="00E348CA"/>
    <w:rsid w:val="00E35645"/>
    <w:rsid w:val="00E36B9F"/>
    <w:rsid w:val="00E36BE6"/>
    <w:rsid w:val="00E41B96"/>
    <w:rsid w:val="00E42843"/>
    <w:rsid w:val="00E44B35"/>
    <w:rsid w:val="00E45525"/>
    <w:rsid w:val="00E459BC"/>
    <w:rsid w:val="00E45F40"/>
    <w:rsid w:val="00E51031"/>
    <w:rsid w:val="00E512CD"/>
    <w:rsid w:val="00E52778"/>
    <w:rsid w:val="00E53AA4"/>
    <w:rsid w:val="00E5487F"/>
    <w:rsid w:val="00E548F0"/>
    <w:rsid w:val="00E60EC8"/>
    <w:rsid w:val="00E61850"/>
    <w:rsid w:val="00E6274A"/>
    <w:rsid w:val="00E646B9"/>
    <w:rsid w:val="00E647E9"/>
    <w:rsid w:val="00E65609"/>
    <w:rsid w:val="00E65A9F"/>
    <w:rsid w:val="00E7088F"/>
    <w:rsid w:val="00E70B72"/>
    <w:rsid w:val="00E70D11"/>
    <w:rsid w:val="00E70D91"/>
    <w:rsid w:val="00E720A0"/>
    <w:rsid w:val="00E72B95"/>
    <w:rsid w:val="00E7426E"/>
    <w:rsid w:val="00E75F1B"/>
    <w:rsid w:val="00E76B96"/>
    <w:rsid w:val="00E7710F"/>
    <w:rsid w:val="00E7741F"/>
    <w:rsid w:val="00E816A9"/>
    <w:rsid w:val="00E81734"/>
    <w:rsid w:val="00E83B56"/>
    <w:rsid w:val="00E83B91"/>
    <w:rsid w:val="00E83CFC"/>
    <w:rsid w:val="00E83EF0"/>
    <w:rsid w:val="00E85B01"/>
    <w:rsid w:val="00E8609E"/>
    <w:rsid w:val="00E87711"/>
    <w:rsid w:val="00E87894"/>
    <w:rsid w:val="00E911B9"/>
    <w:rsid w:val="00E92576"/>
    <w:rsid w:val="00E947B6"/>
    <w:rsid w:val="00E96BD2"/>
    <w:rsid w:val="00E97A0B"/>
    <w:rsid w:val="00EA107E"/>
    <w:rsid w:val="00EA1FEB"/>
    <w:rsid w:val="00EA35B7"/>
    <w:rsid w:val="00EA3D0C"/>
    <w:rsid w:val="00EA5373"/>
    <w:rsid w:val="00EA6527"/>
    <w:rsid w:val="00EA67D7"/>
    <w:rsid w:val="00EA6A70"/>
    <w:rsid w:val="00EB0269"/>
    <w:rsid w:val="00EB1BCE"/>
    <w:rsid w:val="00EB30AF"/>
    <w:rsid w:val="00EB4E94"/>
    <w:rsid w:val="00EB4ED7"/>
    <w:rsid w:val="00EB74F7"/>
    <w:rsid w:val="00EC112D"/>
    <w:rsid w:val="00EC17EC"/>
    <w:rsid w:val="00EC2083"/>
    <w:rsid w:val="00EC20EB"/>
    <w:rsid w:val="00EC4101"/>
    <w:rsid w:val="00EC44B8"/>
    <w:rsid w:val="00EC53B2"/>
    <w:rsid w:val="00EC58A7"/>
    <w:rsid w:val="00EC65A0"/>
    <w:rsid w:val="00EC7D97"/>
    <w:rsid w:val="00EC7F46"/>
    <w:rsid w:val="00ED4245"/>
    <w:rsid w:val="00ED4E59"/>
    <w:rsid w:val="00ED4EE7"/>
    <w:rsid w:val="00ED6455"/>
    <w:rsid w:val="00ED6F09"/>
    <w:rsid w:val="00ED74CD"/>
    <w:rsid w:val="00ED7B6B"/>
    <w:rsid w:val="00EE28C4"/>
    <w:rsid w:val="00EE2E5E"/>
    <w:rsid w:val="00EE4663"/>
    <w:rsid w:val="00EE6F94"/>
    <w:rsid w:val="00EE7D69"/>
    <w:rsid w:val="00EF0189"/>
    <w:rsid w:val="00EF03AE"/>
    <w:rsid w:val="00EF1F6D"/>
    <w:rsid w:val="00EF2450"/>
    <w:rsid w:val="00EF2FDE"/>
    <w:rsid w:val="00EF3022"/>
    <w:rsid w:val="00EF329B"/>
    <w:rsid w:val="00EF3E77"/>
    <w:rsid w:val="00EF4336"/>
    <w:rsid w:val="00EF4763"/>
    <w:rsid w:val="00EF49BF"/>
    <w:rsid w:val="00EF5129"/>
    <w:rsid w:val="00EF5F30"/>
    <w:rsid w:val="00EF6C20"/>
    <w:rsid w:val="00F00825"/>
    <w:rsid w:val="00F046BB"/>
    <w:rsid w:val="00F050F2"/>
    <w:rsid w:val="00F05B71"/>
    <w:rsid w:val="00F11227"/>
    <w:rsid w:val="00F11F1F"/>
    <w:rsid w:val="00F12407"/>
    <w:rsid w:val="00F126DF"/>
    <w:rsid w:val="00F12A56"/>
    <w:rsid w:val="00F163B2"/>
    <w:rsid w:val="00F16984"/>
    <w:rsid w:val="00F2229F"/>
    <w:rsid w:val="00F22AC5"/>
    <w:rsid w:val="00F230BF"/>
    <w:rsid w:val="00F239F0"/>
    <w:rsid w:val="00F24642"/>
    <w:rsid w:val="00F248D2"/>
    <w:rsid w:val="00F25F24"/>
    <w:rsid w:val="00F26EB6"/>
    <w:rsid w:val="00F31F6C"/>
    <w:rsid w:val="00F324FB"/>
    <w:rsid w:val="00F33275"/>
    <w:rsid w:val="00F33B86"/>
    <w:rsid w:val="00F34D6F"/>
    <w:rsid w:val="00F35907"/>
    <w:rsid w:val="00F41A43"/>
    <w:rsid w:val="00F436F5"/>
    <w:rsid w:val="00F44D87"/>
    <w:rsid w:val="00F45EAB"/>
    <w:rsid w:val="00F46070"/>
    <w:rsid w:val="00F4625A"/>
    <w:rsid w:val="00F46B68"/>
    <w:rsid w:val="00F4794A"/>
    <w:rsid w:val="00F47B72"/>
    <w:rsid w:val="00F50D3E"/>
    <w:rsid w:val="00F518D1"/>
    <w:rsid w:val="00F52E1D"/>
    <w:rsid w:val="00F533E8"/>
    <w:rsid w:val="00F53A49"/>
    <w:rsid w:val="00F54056"/>
    <w:rsid w:val="00F542E4"/>
    <w:rsid w:val="00F554F1"/>
    <w:rsid w:val="00F560B9"/>
    <w:rsid w:val="00F56CE4"/>
    <w:rsid w:val="00F61965"/>
    <w:rsid w:val="00F61E8A"/>
    <w:rsid w:val="00F62352"/>
    <w:rsid w:val="00F62357"/>
    <w:rsid w:val="00F635B1"/>
    <w:rsid w:val="00F6440B"/>
    <w:rsid w:val="00F64864"/>
    <w:rsid w:val="00F64D97"/>
    <w:rsid w:val="00F66C7F"/>
    <w:rsid w:val="00F7220D"/>
    <w:rsid w:val="00F72B9C"/>
    <w:rsid w:val="00F73D86"/>
    <w:rsid w:val="00F752E2"/>
    <w:rsid w:val="00F7581E"/>
    <w:rsid w:val="00F76ABC"/>
    <w:rsid w:val="00F76E84"/>
    <w:rsid w:val="00F8047D"/>
    <w:rsid w:val="00F80E88"/>
    <w:rsid w:val="00F8351C"/>
    <w:rsid w:val="00F83C05"/>
    <w:rsid w:val="00F84AFA"/>
    <w:rsid w:val="00F84B7C"/>
    <w:rsid w:val="00F85B89"/>
    <w:rsid w:val="00F868BB"/>
    <w:rsid w:val="00F876F2"/>
    <w:rsid w:val="00F87AEE"/>
    <w:rsid w:val="00F87D89"/>
    <w:rsid w:val="00F906EA"/>
    <w:rsid w:val="00F90F18"/>
    <w:rsid w:val="00F91179"/>
    <w:rsid w:val="00F91AC5"/>
    <w:rsid w:val="00F93007"/>
    <w:rsid w:val="00F9370F"/>
    <w:rsid w:val="00F9434E"/>
    <w:rsid w:val="00F964F8"/>
    <w:rsid w:val="00F977A4"/>
    <w:rsid w:val="00FA01FF"/>
    <w:rsid w:val="00FA1FEE"/>
    <w:rsid w:val="00FA2BB6"/>
    <w:rsid w:val="00FA331E"/>
    <w:rsid w:val="00FA658B"/>
    <w:rsid w:val="00FA6810"/>
    <w:rsid w:val="00FA6DB2"/>
    <w:rsid w:val="00FA7016"/>
    <w:rsid w:val="00FA7079"/>
    <w:rsid w:val="00FA7E22"/>
    <w:rsid w:val="00FB1139"/>
    <w:rsid w:val="00FB2574"/>
    <w:rsid w:val="00FB3079"/>
    <w:rsid w:val="00FB4B1B"/>
    <w:rsid w:val="00FB4DAA"/>
    <w:rsid w:val="00FB551A"/>
    <w:rsid w:val="00FB55C3"/>
    <w:rsid w:val="00FB72C3"/>
    <w:rsid w:val="00FB743E"/>
    <w:rsid w:val="00FC1628"/>
    <w:rsid w:val="00FC1F2D"/>
    <w:rsid w:val="00FC206E"/>
    <w:rsid w:val="00FC2431"/>
    <w:rsid w:val="00FC2BE3"/>
    <w:rsid w:val="00FC4D74"/>
    <w:rsid w:val="00FC65C2"/>
    <w:rsid w:val="00FC7B3C"/>
    <w:rsid w:val="00FD0F52"/>
    <w:rsid w:val="00FD1360"/>
    <w:rsid w:val="00FD154B"/>
    <w:rsid w:val="00FD476A"/>
    <w:rsid w:val="00FD6065"/>
    <w:rsid w:val="00FD6FA8"/>
    <w:rsid w:val="00FD7E43"/>
    <w:rsid w:val="00FE1466"/>
    <w:rsid w:val="00FE43B4"/>
    <w:rsid w:val="00FE43E5"/>
    <w:rsid w:val="00FE4BB0"/>
    <w:rsid w:val="00FE5835"/>
    <w:rsid w:val="00FE5F1C"/>
    <w:rsid w:val="00FE6DF3"/>
    <w:rsid w:val="00FE7AA7"/>
    <w:rsid w:val="00FF0FDF"/>
    <w:rsid w:val="00FF258D"/>
    <w:rsid w:val="00FF2FC3"/>
    <w:rsid w:val="00FF30C1"/>
    <w:rsid w:val="00FF47E9"/>
    <w:rsid w:val="00FF4B0F"/>
    <w:rsid w:val="00FF5302"/>
    <w:rsid w:val="00FF63B1"/>
    <w:rsid w:val="00FF63CE"/>
    <w:rsid w:val="00FF77A6"/>
    <w:rsid w:val="00FF7963"/>
    <w:rsid w:val="00FF7E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CD792"/>
  <w14:defaultImageDpi w14:val="32767"/>
  <w15:docId w15:val="{214B6B7C-FD0B-408E-AC5C-D65A0ED8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1277"/>
    <w:pPr>
      <w:jc w:val="both"/>
    </w:pPr>
    <w:rPr>
      <w:rFonts w:ascii="Arial" w:eastAsia="Times New Roman" w:hAnsi="Arial" w:cs="Times New Roman"/>
      <w:sz w:val="22"/>
      <w:szCs w:val="20"/>
      <w:lang w:val="en-US"/>
    </w:rPr>
  </w:style>
  <w:style w:type="paragraph" w:styleId="Heading1">
    <w:name w:val="heading 1"/>
    <w:basedOn w:val="Normal"/>
    <w:next w:val="Normal"/>
    <w:link w:val="Heading1Char"/>
    <w:uiPriority w:val="9"/>
    <w:qFormat/>
    <w:rsid w:val="009C433E"/>
    <w:pPr>
      <w:keepNext/>
      <w:numPr>
        <w:numId w:val="1"/>
      </w:numPr>
      <w:spacing w:after="240"/>
      <w:jc w:val="center"/>
      <w:outlineLvl w:val="0"/>
    </w:pPr>
    <w:rPr>
      <w:b/>
      <w:caps/>
      <w:kern w:val="28"/>
    </w:rPr>
  </w:style>
  <w:style w:type="paragraph" w:styleId="Heading3">
    <w:name w:val="heading 3"/>
    <w:basedOn w:val="Normal"/>
    <w:next w:val="Normal"/>
    <w:link w:val="Heading3Char"/>
    <w:uiPriority w:val="9"/>
    <w:semiHidden/>
    <w:unhideWhenUsed/>
    <w:qFormat/>
    <w:rsid w:val="00292F8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33E"/>
    <w:rPr>
      <w:rFonts w:ascii="Arial" w:eastAsia="Times New Roman" w:hAnsi="Arial" w:cs="Times New Roman"/>
      <w:b/>
      <w:caps/>
      <w:kern w:val="28"/>
      <w:sz w:val="22"/>
      <w:szCs w:val="20"/>
      <w:lang w:val="en-US"/>
    </w:rPr>
  </w:style>
  <w:style w:type="paragraph" w:styleId="Footer">
    <w:name w:val="footer"/>
    <w:basedOn w:val="Normal"/>
    <w:link w:val="FooterChar"/>
    <w:uiPriority w:val="99"/>
    <w:rsid w:val="003B1277"/>
    <w:pPr>
      <w:tabs>
        <w:tab w:val="center" w:pos="4320"/>
        <w:tab w:val="right" w:pos="8640"/>
      </w:tabs>
    </w:pPr>
  </w:style>
  <w:style w:type="character" w:customStyle="1" w:styleId="FooterChar">
    <w:name w:val="Footer Char"/>
    <w:basedOn w:val="DefaultParagraphFont"/>
    <w:link w:val="Footer"/>
    <w:uiPriority w:val="99"/>
    <w:rsid w:val="003B1277"/>
    <w:rPr>
      <w:rFonts w:ascii="Arial" w:eastAsia="Times New Roman" w:hAnsi="Arial" w:cs="Times New Roman"/>
      <w:sz w:val="22"/>
      <w:szCs w:val="20"/>
      <w:lang w:val="en-US"/>
    </w:rPr>
  </w:style>
  <w:style w:type="paragraph" w:styleId="Header">
    <w:name w:val="header"/>
    <w:basedOn w:val="Normal"/>
    <w:link w:val="HeaderChar"/>
    <w:uiPriority w:val="99"/>
    <w:rsid w:val="003B1277"/>
    <w:pPr>
      <w:tabs>
        <w:tab w:val="center" w:pos="4320"/>
        <w:tab w:val="right" w:pos="8640"/>
      </w:tabs>
      <w:jc w:val="center"/>
    </w:pPr>
  </w:style>
  <w:style w:type="character" w:customStyle="1" w:styleId="HeaderChar">
    <w:name w:val="Header Char"/>
    <w:basedOn w:val="DefaultParagraphFont"/>
    <w:link w:val="Header"/>
    <w:uiPriority w:val="99"/>
    <w:rsid w:val="003B1277"/>
    <w:rPr>
      <w:rFonts w:ascii="Arial" w:eastAsia="Times New Roman" w:hAnsi="Arial" w:cs="Times New Roman"/>
      <w:sz w:val="22"/>
      <w:szCs w:val="20"/>
      <w:lang w:val="en-US"/>
    </w:rPr>
  </w:style>
  <w:style w:type="paragraph" w:styleId="TOC1">
    <w:name w:val="toc 1"/>
    <w:basedOn w:val="Normal"/>
    <w:next w:val="Normal"/>
    <w:autoRedefine/>
    <w:uiPriority w:val="39"/>
    <w:qFormat/>
    <w:rsid w:val="003B1277"/>
    <w:pPr>
      <w:spacing w:before="120"/>
      <w:jc w:val="left"/>
    </w:pPr>
    <w:rPr>
      <w:rFonts w:asciiTheme="minorHAnsi" w:hAnsiTheme="minorHAnsi" w:cstheme="minorHAnsi"/>
      <w:b/>
      <w:bCs/>
      <w:i/>
      <w:iCs/>
      <w:sz w:val="24"/>
      <w:szCs w:val="24"/>
    </w:rPr>
  </w:style>
  <w:style w:type="paragraph" w:styleId="TOCHeading">
    <w:name w:val="TOC Heading"/>
    <w:basedOn w:val="Heading1"/>
    <w:next w:val="Normal"/>
    <w:uiPriority w:val="39"/>
    <w:qFormat/>
    <w:rsid w:val="003B1277"/>
    <w:pPr>
      <w:keepLines/>
      <w:numPr>
        <w:numId w:val="0"/>
      </w:numPr>
      <w:spacing w:before="480" w:after="0" w:line="276" w:lineRule="auto"/>
      <w:jc w:val="left"/>
      <w:outlineLvl w:val="9"/>
    </w:pPr>
    <w:rPr>
      <w:bCs/>
      <w:caps w:val="0"/>
      <w:color w:val="365F91"/>
      <w:kern w:val="0"/>
      <w:sz w:val="28"/>
      <w:szCs w:val="28"/>
    </w:rPr>
  </w:style>
  <w:style w:type="paragraph" w:styleId="ListParagraph">
    <w:name w:val="List Paragraph"/>
    <w:aliases w:val="Bulleted List Paragraph,Recommendation,List Paragraph11,ADB paragraph numbering,ADB List Paragraph,List Paragraph1,123 List Paragraph,ANNEX,List Paragraph2,List Paragraph (numbered (a)),Bullets,IBL List Paragraph,List Paragraph nowy"/>
    <w:basedOn w:val="Normal"/>
    <w:link w:val="ListParagraphChar"/>
    <w:uiPriority w:val="9"/>
    <w:qFormat/>
    <w:rsid w:val="00325B5D"/>
    <w:pPr>
      <w:numPr>
        <w:numId w:val="2"/>
      </w:numPr>
      <w:spacing w:after="240" w:line="276" w:lineRule="auto"/>
    </w:pPr>
  </w:style>
  <w:style w:type="character" w:customStyle="1" w:styleId="ListParagraphChar">
    <w:name w:val="List Paragraph Char"/>
    <w:aliases w:val="Bulleted List Paragraph Char,Recommendation Char,List Paragraph11 Char,ADB paragraph numbering Char,ADB List Paragraph Char,List Paragraph1 Char,123 List Paragraph Char,ANNEX Char,List Paragraph2 Char,Bullets Char"/>
    <w:link w:val="ListParagraph"/>
    <w:uiPriority w:val="9"/>
    <w:qFormat/>
    <w:locked/>
    <w:rsid w:val="00325B5D"/>
    <w:rPr>
      <w:rFonts w:ascii="Arial" w:eastAsia="Times New Roman" w:hAnsi="Arial" w:cs="Times New Roman"/>
      <w:sz w:val="22"/>
      <w:szCs w:val="20"/>
      <w:lang w:val="en-US"/>
    </w:rPr>
  </w:style>
  <w:style w:type="table" w:styleId="TableGrid">
    <w:name w:val="Table Grid"/>
    <w:aliases w:val="TabelEcorys"/>
    <w:basedOn w:val="TableNormal"/>
    <w:uiPriority w:val="39"/>
    <w:rsid w:val="003B1277"/>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B1277"/>
  </w:style>
  <w:style w:type="character" w:styleId="Hyperlink">
    <w:name w:val="Hyperlink"/>
    <w:basedOn w:val="DefaultParagraphFont"/>
    <w:uiPriority w:val="99"/>
    <w:unhideWhenUsed/>
    <w:rsid w:val="003B1277"/>
    <w:rPr>
      <w:color w:val="0563C1" w:themeColor="hyperlink"/>
      <w:u w:val="single"/>
    </w:rPr>
  </w:style>
  <w:style w:type="paragraph" w:styleId="FootnoteText">
    <w:name w:val="footnote text"/>
    <w:aliases w:val="Footnote Text Char Char Char Char Char Char,fn,single space,FOOTNOTES,Footnote Text Char Char,ft,TBG Style,Geneva 9,Font: Geneva 9,Boston 10,f,Footnote Text Char1 Char,Font,Footnote,footnote text,Car,Footnote text,A,ALTS FOOTNOTE,ADB"/>
    <w:basedOn w:val="Normal"/>
    <w:link w:val="FootnoteTextChar"/>
    <w:uiPriority w:val="99"/>
    <w:unhideWhenUsed/>
    <w:qFormat/>
    <w:rsid w:val="00554452"/>
    <w:rPr>
      <w:sz w:val="20"/>
    </w:rPr>
  </w:style>
  <w:style w:type="character" w:customStyle="1" w:styleId="FootnoteTextChar">
    <w:name w:val="Footnote Text Char"/>
    <w:aliases w:val="Footnote Text Char Char Char Char Char Char Char,fn Char,single space Char,FOOTNOTES Char,Footnote Text Char Char Char,ft Char,TBG Style Char,Geneva 9 Char,Font: Geneva 9 Char,Boston 10 Char,f Char,Footnote Text Char1 Char Char,A Char"/>
    <w:basedOn w:val="DefaultParagraphFont"/>
    <w:link w:val="FootnoteText"/>
    <w:uiPriority w:val="99"/>
    <w:rsid w:val="00554452"/>
    <w:rPr>
      <w:rFonts w:ascii="Arial" w:eastAsia="Times New Roman" w:hAnsi="Arial" w:cs="Times New Roman"/>
      <w:sz w:val="20"/>
      <w:szCs w:val="20"/>
      <w:lang w:val="en-US"/>
    </w:rPr>
  </w:style>
  <w:style w:type="character" w:styleId="FootnoteReference">
    <w:name w:val="footnote reference"/>
    <w:aliases w:val="16 Point,Superscript 6 Point,ftref,Footnote Reference Number,Footnote Reference_LVL6,Footnote Reference_LVL61,Footnote Reference_LVL62,Footnote Reference_LVL63,Footnote Reference_LVL64,Знак сноски-FN,referencia nota al pie,BVI fnr,fr"/>
    <w:basedOn w:val="DefaultParagraphFont"/>
    <w:link w:val="Char2"/>
    <w:uiPriority w:val="99"/>
    <w:unhideWhenUsed/>
    <w:qFormat/>
    <w:rsid w:val="00554452"/>
    <w:rPr>
      <w:vertAlign w:val="superscript"/>
    </w:rPr>
  </w:style>
  <w:style w:type="paragraph" w:styleId="TOC2">
    <w:name w:val="toc 2"/>
    <w:basedOn w:val="Normal"/>
    <w:next w:val="Normal"/>
    <w:autoRedefine/>
    <w:uiPriority w:val="39"/>
    <w:semiHidden/>
    <w:unhideWhenUsed/>
    <w:rsid w:val="00E512CD"/>
    <w:pPr>
      <w:spacing w:after="100"/>
      <w:ind w:left="220"/>
    </w:pPr>
  </w:style>
  <w:style w:type="paragraph" w:customStyle="1" w:styleId="Char2">
    <w:name w:val="Char2"/>
    <w:basedOn w:val="Normal"/>
    <w:link w:val="FootnoteReference"/>
    <w:uiPriority w:val="99"/>
    <w:rsid w:val="006019E4"/>
    <w:pPr>
      <w:spacing w:before="120" w:after="160" w:line="240" w:lineRule="exact"/>
      <w:ind w:left="547"/>
    </w:pPr>
    <w:rPr>
      <w:rFonts w:asciiTheme="minorHAnsi" w:eastAsiaTheme="minorHAnsi" w:hAnsiTheme="minorHAnsi" w:cstheme="minorBidi"/>
      <w:sz w:val="24"/>
      <w:szCs w:val="24"/>
      <w:vertAlign w:val="superscript"/>
      <w:lang w:val="en-GB"/>
    </w:rPr>
  </w:style>
  <w:style w:type="paragraph" w:styleId="NoSpacing">
    <w:name w:val="No Spacing"/>
    <w:link w:val="NoSpacingChar"/>
    <w:uiPriority w:val="1"/>
    <w:qFormat/>
    <w:rsid w:val="00A82288"/>
    <w:rPr>
      <w:rFonts w:ascii="Calibri" w:eastAsia="Times New Roman" w:hAnsi="Calibri" w:cs="Times New Roman"/>
      <w:sz w:val="22"/>
      <w:szCs w:val="22"/>
      <w:lang w:val="en-US"/>
    </w:rPr>
  </w:style>
  <w:style w:type="character" w:customStyle="1" w:styleId="NoSpacingChar">
    <w:name w:val="No Spacing Char"/>
    <w:link w:val="NoSpacing"/>
    <w:uiPriority w:val="1"/>
    <w:rsid w:val="00A82288"/>
    <w:rPr>
      <w:rFonts w:ascii="Calibri" w:eastAsia="Times New Roman" w:hAnsi="Calibri" w:cs="Times New Roman"/>
      <w:sz w:val="22"/>
      <w:szCs w:val="22"/>
      <w:lang w:val="en-US"/>
    </w:rPr>
  </w:style>
  <w:style w:type="character" w:styleId="CommentReference">
    <w:name w:val="annotation reference"/>
    <w:uiPriority w:val="99"/>
    <w:semiHidden/>
    <w:unhideWhenUsed/>
    <w:rsid w:val="008D4B76"/>
    <w:rPr>
      <w:sz w:val="16"/>
      <w:szCs w:val="16"/>
    </w:rPr>
  </w:style>
  <w:style w:type="character" w:customStyle="1" w:styleId="Heading3Char">
    <w:name w:val="Heading 3 Char"/>
    <w:basedOn w:val="DefaultParagraphFont"/>
    <w:link w:val="Heading3"/>
    <w:uiPriority w:val="9"/>
    <w:semiHidden/>
    <w:rsid w:val="00292F83"/>
    <w:rPr>
      <w:rFonts w:asciiTheme="majorHAnsi" w:eastAsiaTheme="majorEastAsia" w:hAnsiTheme="majorHAnsi" w:cstheme="majorBidi"/>
      <w:color w:val="1F3763" w:themeColor="accent1" w:themeShade="7F"/>
      <w:lang w:val="en-US"/>
    </w:rPr>
  </w:style>
  <w:style w:type="paragraph" w:styleId="BalloonText">
    <w:name w:val="Balloon Text"/>
    <w:basedOn w:val="Normal"/>
    <w:link w:val="BalloonTextChar"/>
    <w:unhideWhenUsed/>
    <w:rsid w:val="00292F83"/>
    <w:pPr>
      <w:jc w:val="left"/>
    </w:pPr>
    <w:rPr>
      <w:rFonts w:ascii="Tahoma" w:hAnsi="Tahoma" w:cs="Tahoma"/>
      <w:sz w:val="16"/>
      <w:szCs w:val="16"/>
    </w:rPr>
  </w:style>
  <w:style w:type="character" w:customStyle="1" w:styleId="BalloonTextChar">
    <w:name w:val="Balloon Text Char"/>
    <w:basedOn w:val="DefaultParagraphFont"/>
    <w:link w:val="BalloonText"/>
    <w:rsid w:val="00292F83"/>
    <w:rPr>
      <w:rFonts w:ascii="Tahoma" w:eastAsia="Times New Roman" w:hAnsi="Tahoma" w:cs="Tahoma"/>
      <w:sz w:val="16"/>
      <w:szCs w:val="16"/>
      <w:lang w:val="en-US"/>
    </w:rPr>
  </w:style>
  <w:style w:type="paragraph" w:customStyle="1" w:styleId="gray">
    <w:name w:val="gray"/>
    <w:basedOn w:val="Normal"/>
    <w:rsid w:val="00292F83"/>
    <w:pPr>
      <w:spacing w:before="100" w:beforeAutospacing="1" w:after="100" w:afterAutospacing="1"/>
      <w:jc w:val="left"/>
    </w:pPr>
    <w:rPr>
      <w:rFonts w:ascii="Times New Roman" w:hAnsi="Times New Roman"/>
      <w:sz w:val="24"/>
      <w:szCs w:val="24"/>
    </w:rPr>
  </w:style>
  <w:style w:type="paragraph" w:styleId="Caption">
    <w:name w:val="caption"/>
    <w:basedOn w:val="Normal"/>
    <w:next w:val="Normal"/>
    <w:uiPriority w:val="35"/>
    <w:unhideWhenUsed/>
    <w:qFormat/>
    <w:rsid w:val="00292F83"/>
    <w:pPr>
      <w:spacing w:after="160"/>
      <w:jc w:val="left"/>
    </w:pPr>
    <w:rPr>
      <w:rFonts w:ascii="Calibri" w:hAnsi="Calibri"/>
      <w:b/>
      <w:bCs/>
      <w:smallCaps/>
      <w:color w:val="44546A"/>
      <w:szCs w:val="22"/>
    </w:rPr>
  </w:style>
  <w:style w:type="character" w:customStyle="1" w:styleId="tgc">
    <w:name w:val="_tgc"/>
    <w:basedOn w:val="DefaultParagraphFont"/>
    <w:rsid w:val="00292F83"/>
  </w:style>
  <w:style w:type="paragraph" w:styleId="TOC3">
    <w:name w:val="toc 3"/>
    <w:basedOn w:val="Normal"/>
    <w:next w:val="Normal"/>
    <w:autoRedefine/>
    <w:uiPriority w:val="39"/>
    <w:unhideWhenUsed/>
    <w:rsid w:val="00025392"/>
    <w:pPr>
      <w:spacing w:after="100"/>
      <w:ind w:left="440"/>
    </w:pPr>
  </w:style>
  <w:style w:type="paragraph" w:customStyle="1" w:styleId="Default">
    <w:name w:val="Default"/>
    <w:rsid w:val="006972EB"/>
    <w:pPr>
      <w:autoSpaceDE w:val="0"/>
      <w:autoSpaceDN w:val="0"/>
      <w:adjustRightInd w:val="0"/>
    </w:pPr>
    <w:rPr>
      <w:rFonts w:ascii="Times New Roman" w:eastAsia="Times New Roman" w:hAnsi="Times New Roman" w:cs="Times New Roman"/>
      <w:color w:val="000000"/>
      <w:lang w:val="en-IE"/>
    </w:rPr>
  </w:style>
  <w:style w:type="paragraph" w:styleId="CommentText">
    <w:name w:val="annotation text"/>
    <w:basedOn w:val="Normal"/>
    <w:link w:val="CommentTextChar"/>
    <w:uiPriority w:val="99"/>
    <w:semiHidden/>
    <w:unhideWhenUsed/>
    <w:rsid w:val="000C6EA1"/>
    <w:rPr>
      <w:sz w:val="24"/>
      <w:szCs w:val="24"/>
    </w:rPr>
  </w:style>
  <w:style w:type="character" w:customStyle="1" w:styleId="CommentTextChar">
    <w:name w:val="Comment Text Char"/>
    <w:basedOn w:val="DefaultParagraphFont"/>
    <w:link w:val="CommentText"/>
    <w:uiPriority w:val="99"/>
    <w:semiHidden/>
    <w:rsid w:val="000C6EA1"/>
    <w:rPr>
      <w:rFonts w:ascii="Arial" w:eastAsia="Times New Roman" w:hAnsi="Arial" w:cs="Times New Roman"/>
      <w:lang w:val="en-US"/>
    </w:rPr>
  </w:style>
  <w:style w:type="paragraph" w:styleId="CommentSubject">
    <w:name w:val="annotation subject"/>
    <w:basedOn w:val="CommentText"/>
    <w:next w:val="CommentText"/>
    <w:link w:val="CommentSubjectChar"/>
    <w:uiPriority w:val="99"/>
    <w:semiHidden/>
    <w:unhideWhenUsed/>
    <w:rsid w:val="000C6EA1"/>
    <w:rPr>
      <w:b/>
      <w:bCs/>
      <w:sz w:val="20"/>
      <w:szCs w:val="20"/>
    </w:rPr>
  </w:style>
  <w:style w:type="character" w:customStyle="1" w:styleId="CommentSubjectChar">
    <w:name w:val="Comment Subject Char"/>
    <w:basedOn w:val="CommentTextChar"/>
    <w:link w:val="CommentSubject"/>
    <w:uiPriority w:val="99"/>
    <w:semiHidden/>
    <w:rsid w:val="000C6EA1"/>
    <w:rPr>
      <w:rFonts w:ascii="Arial" w:eastAsia="Times New Roman" w:hAnsi="Arial" w:cs="Times New Roman"/>
      <w:b/>
      <w:bCs/>
      <w:sz w:val="20"/>
      <w:szCs w:val="20"/>
      <w:lang w:val="en-US"/>
    </w:rPr>
  </w:style>
  <w:style w:type="paragraph" w:styleId="Revision">
    <w:name w:val="Revision"/>
    <w:hidden/>
    <w:uiPriority w:val="99"/>
    <w:semiHidden/>
    <w:rsid w:val="006B73D3"/>
    <w:rPr>
      <w:rFonts w:ascii="Arial" w:eastAsia="Times New Roman" w:hAnsi="Arial" w:cs="Times New Roman"/>
      <w:sz w:val="22"/>
      <w:szCs w:val="20"/>
      <w:lang w:val="en-US"/>
    </w:rPr>
  </w:style>
  <w:style w:type="paragraph" w:customStyle="1" w:styleId="regtext">
    <w:name w:val="reg text"/>
    <w:basedOn w:val="Normal"/>
    <w:link w:val="regtext0"/>
    <w:qFormat/>
    <w:rsid w:val="0008377D"/>
    <w:pPr>
      <w:spacing w:line="288" w:lineRule="auto"/>
    </w:pPr>
    <w:rPr>
      <w:rFonts w:asciiTheme="minorHAnsi" w:eastAsiaTheme="minorHAnsi" w:hAnsiTheme="minorHAnsi" w:cstheme="minorHAnsi"/>
      <w:sz w:val="24"/>
      <w:szCs w:val="24"/>
      <w:lang w:val="en-GB"/>
    </w:rPr>
  </w:style>
  <w:style w:type="character" w:customStyle="1" w:styleId="regtext0">
    <w:name w:val="reg text Знак"/>
    <w:basedOn w:val="DefaultParagraphFont"/>
    <w:link w:val="regtext"/>
    <w:rsid w:val="0008377D"/>
    <w:rPr>
      <w:rFonts w:cstheme="minorHAnsi"/>
    </w:rPr>
  </w:style>
  <w:style w:type="paragraph" w:customStyle="1" w:styleId="Bullet1">
    <w:name w:val="Bullet 1"/>
    <w:basedOn w:val="ListParagraph"/>
    <w:link w:val="Bullet10"/>
    <w:qFormat/>
    <w:rsid w:val="00FE5835"/>
    <w:pPr>
      <w:numPr>
        <w:numId w:val="38"/>
      </w:numPr>
      <w:autoSpaceDE w:val="0"/>
      <w:autoSpaceDN w:val="0"/>
      <w:adjustRightInd w:val="0"/>
      <w:spacing w:after="0" w:line="288" w:lineRule="auto"/>
      <w:contextualSpacing/>
    </w:pPr>
    <w:rPr>
      <w:rFonts w:asciiTheme="minorHAnsi" w:eastAsiaTheme="minorHAnsi" w:hAnsiTheme="minorHAnsi" w:cs="Calibri-Bold"/>
      <w:bCs/>
      <w:sz w:val="24"/>
      <w:szCs w:val="24"/>
    </w:rPr>
  </w:style>
  <w:style w:type="character" w:customStyle="1" w:styleId="Bullet10">
    <w:name w:val="Bullet 1 Знак"/>
    <w:basedOn w:val="DefaultParagraphFont"/>
    <w:link w:val="Bullet1"/>
    <w:rsid w:val="00FE5835"/>
    <w:rPr>
      <w:rFonts w:cs="Calibri-Bold"/>
      <w:bCs/>
      <w:lang w:val="en-US"/>
    </w:rPr>
  </w:style>
  <w:style w:type="paragraph" w:customStyle="1" w:styleId="RegText1">
    <w:name w:val="Reg Text"/>
    <w:basedOn w:val="BodyText"/>
    <w:link w:val="RegText2"/>
    <w:qFormat/>
    <w:rsid w:val="0045733E"/>
    <w:pPr>
      <w:spacing w:before="120" w:line="276" w:lineRule="auto"/>
    </w:pPr>
    <w:rPr>
      <w:rFonts w:eastAsia="Calibri" w:cs="Arial"/>
      <w:lang w:val="en-GB" w:eastAsia="ru-RU"/>
    </w:rPr>
  </w:style>
  <w:style w:type="character" w:customStyle="1" w:styleId="RegText2">
    <w:name w:val="Reg Text Знак"/>
    <w:link w:val="RegText1"/>
    <w:rsid w:val="0045733E"/>
    <w:rPr>
      <w:rFonts w:ascii="Arial" w:eastAsia="Calibri" w:hAnsi="Arial" w:cs="Arial"/>
      <w:sz w:val="22"/>
      <w:szCs w:val="20"/>
      <w:lang w:eastAsia="ru-RU"/>
    </w:rPr>
  </w:style>
  <w:style w:type="paragraph" w:styleId="BodyText">
    <w:name w:val="Body Text"/>
    <w:basedOn w:val="Normal"/>
    <w:link w:val="BodyTextChar"/>
    <w:uiPriority w:val="99"/>
    <w:semiHidden/>
    <w:unhideWhenUsed/>
    <w:rsid w:val="0045733E"/>
    <w:pPr>
      <w:spacing w:after="120"/>
    </w:pPr>
  </w:style>
  <w:style w:type="character" w:customStyle="1" w:styleId="BodyTextChar">
    <w:name w:val="Body Text Char"/>
    <w:basedOn w:val="DefaultParagraphFont"/>
    <w:link w:val="BodyText"/>
    <w:uiPriority w:val="99"/>
    <w:semiHidden/>
    <w:rsid w:val="0045733E"/>
    <w:rPr>
      <w:rFonts w:ascii="Arial" w:eastAsia="Times New Roman" w:hAnsi="Arial"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59833">
      <w:bodyDiv w:val="1"/>
      <w:marLeft w:val="0"/>
      <w:marRight w:val="0"/>
      <w:marTop w:val="0"/>
      <w:marBottom w:val="0"/>
      <w:divBdr>
        <w:top w:val="none" w:sz="0" w:space="0" w:color="auto"/>
        <w:left w:val="none" w:sz="0" w:space="0" w:color="auto"/>
        <w:bottom w:val="none" w:sz="0" w:space="0" w:color="auto"/>
        <w:right w:val="none" w:sz="0" w:space="0" w:color="auto"/>
      </w:divBdr>
    </w:div>
    <w:div w:id="1234660012">
      <w:bodyDiv w:val="1"/>
      <w:marLeft w:val="0"/>
      <w:marRight w:val="0"/>
      <w:marTop w:val="0"/>
      <w:marBottom w:val="0"/>
      <w:divBdr>
        <w:top w:val="none" w:sz="0" w:space="0" w:color="auto"/>
        <w:left w:val="none" w:sz="0" w:space="0" w:color="auto"/>
        <w:bottom w:val="none" w:sz="0" w:space="0" w:color="auto"/>
        <w:right w:val="none" w:sz="0" w:space="0" w:color="auto"/>
      </w:divBdr>
    </w:div>
    <w:div w:id="1238981554">
      <w:bodyDiv w:val="1"/>
      <w:marLeft w:val="0"/>
      <w:marRight w:val="0"/>
      <w:marTop w:val="0"/>
      <w:marBottom w:val="0"/>
      <w:divBdr>
        <w:top w:val="none" w:sz="0" w:space="0" w:color="auto"/>
        <w:left w:val="none" w:sz="0" w:space="0" w:color="auto"/>
        <w:bottom w:val="none" w:sz="0" w:space="0" w:color="auto"/>
        <w:right w:val="none" w:sz="0" w:space="0" w:color="auto"/>
      </w:divBdr>
    </w:div>
    <w:div w:id="1284385860">
      <w:bodyDiv w:val="1"/>
      <w:marLeft w:val="0"/>
      <w:marRight w:val="0"/>
      <w:marTop w:val="0"/>
      <w:marBottom w:val="0"/>
      <w:divBdr>
        <w:top w:val="none" w:sz="0" w:space="0" w:color="auto"/>
        <w:left w:val="none" w:sz="0" w:space="0" w:color="auto"/>
        <w:bottom w:val="none" w:sz="0" w:space="0" w:color="auto"/>
        <w:right w:val="none" w:sz="0" w:space="0" w:color="auto"/>
      </w:divBdr>
      <w:divsChild>
        <w:div w:id="1106852610">
          <w:marLeft w:val="0"/>
          <w:marRight w:val="0"/>
          <w:marTop w:val="120"/>
          <w:marBottom w:val="0"/>
          <w:divBdr>
            <w:top w:val="none" w:sz="0" w:space="0" w:color="auto"/>
            <w:left w:val="none" w:sz="0" w:space="0" w:color="auto"/>
            <w:bottom w:val="none" w:sz="0" w:space="0" w:color="auto"/>
            <w:right w:val="none" w:sz="0" w:space="0" w:color="auto"/>
          </w:divBdr>
          <w:divsChild>
            <w:div w:id="304314782">
              <w:marLeft w:val="0"/>
              <w:marRight w:val="0"/>
              <w:marTop w:val="0"/>
              <w:marBottom w:val="0"/>
              <w:divBdr>
                <w:top w:val="none" w:sz="0" w:space="0" w:color="auto"/>
                <w:left w:val="none" w:sz="0" w:space="0" w:color="auto"/>
                <w:bottom w:val="none" w:sz="0" w:space="0" w:color="auto"/>
                <w:right w:val="none" w:sz="0" w:space="0" w:color="auto"/>
              </w:divBdr>
            </w:div>
          </w:divsChild>
        </w:div>
        <w:div w:id="645746933">
          <w:marLeft w:val="0"/>
          <w:marRight w:val="0"/>
          <w:marTop w:val="120"/>
          <w:marBottom w:val="0"/>
          <w:divBdr>
            <w:top w:val="none" w:sz="0" w:space="0" w:color="auto"/>
            <w:left w:val="none" w:sz="0" w:space="0" w:color="auto"/>
            <w:bottom w:val="none" w:sz="0" w:space="0" w:color="auto"/>
            <w:right w:val="none" w:sz="0" w:space="0" w:color="auto"/>
          </w:divBdr>
          <w:divsChild>
            <w:div w:id="1384134044">
              <w:marLeft w:val="0"/>
              <w:marRight w:val="0"/>
              <w:marTop w:val="0"/>
              <w:marBottom w:val="0"/>
              <w:divBdr>
                <w:top w:val="none" w:sz="0" w:space="0" w:color="auto"/>
                <w:left w:val="none" w:sz="0" w:space="0" w:color="auto"/>
                <w:bottom w:val="none" w:sz="0" w:space="0" w:color="auto"/>
                <w:right w:val="none" w:sz="0" w:space="0" w:color="auto"/>
              </w:divBdr>
            </w:div>
          </w:divsChild>
        </w:div>
        <w:div w:id="1950969551">
          <w:marLeft w:val="0"/>
          <w:marRight w:val="0"/>
          <w:marTop w:val="120"/>
          <w:marBottom w:val="0"/>
          <w:divBdr>
            <w:top w:val="none" w:sz="0" w:space="0" w:color="auto"/>
            <w:left w:val="none" w:sz="0" w:space="0" w:color="auto"/>
            <w:bottom w:val="none" w:sz="0" w:space="0" w:color="auto"/>
            <w:right w:val="none" w:sz="0" w:space="0" w:color="auto"/>
          </w:divBdr>
          <w:divsChild>
            <w:div w:id="1710253266">
              <w:marLeft w:val="0"/>
              <w:marRight w:val="0"/>
              <w:marTop w:val="0"/>
              <w:marBottom w:val="0"/>
              <w:divBdr>
                <w:top w:val="none" w:sz="0" w:space="0" w:color="auto"/>
                <w:left w:val="none" w:sz="0" w:space="0" w:color="auto"/>
                <w:bottom w:val="none" w:sz="0" w:space="0" w:color="auto"/>
                <w:right w:val="none" w:sz="0" w:space="0" w:color="auto"/>
              </w:divBdr>
            </w:div>
          </w:divsChild>
        </w:div>
        <w:div w:id="1673754603">
          <w:marLeft w:val="0"/>
          <w:marRight w:val="0"/>
          <w:marTop w:val="120"/>
          <w:marBottom w:val="0"/>
          <w:divBdr>
            <w:top w:val="none" w:sz="0" w:space="0" w:color="auto"/>
            <w:left w:val="none" w:sz="0" w:space="0" w:color="auto"/>
            <w:bottom w:val="none" w:sz="0" w:space="0" w:color="auto"/>
            <w:right w:val="none" w:sz="0" w:space="0" w:color="auto"/>
          </w:divBdr>
          <w:divsChild>
            <w:div w:id="659189380">
              <w:marLeft w:val="0"/>
              <w:marRight w:val="0"/>
              <w:marTop w:val="0"/>
              <w:marBottom w:val="0"/>
              <w:divBdr>
                <w:top w:val="none" w:sz="0" w:space="0" w:color="auto"/>
                <w:left w:val="none" w:sz="0" w:space="0" w:color="auto"/>
                <w:bottom w:val="none" w:sz="0" w:space="0" w:color="auto"/>
                <w:right w:val="none" w:sz="0" w:space="0" w:color="auto"/>
              </w:divBdr>
            </w:div>
          </w:divsChild>
        </w:div>
        <w:div w:id="379208494">
          <w:marLeft w:val="0"/>
          <w:marRight w:val="0"/>
          <w:marTop w:val="120"/>
          <w:marBottom w:val="0"/>
          <w:divBdr>
            <w:top w:val="none" w:sz="0" w:space="0" w:color="auto"/>
            <w:left w:val="none" w:sz="0" w:space="0" w:color="auto"/>
            <w:bottom w:val="none" w:sz="0" w:space="0" w:color="auto"/>
            <w:right w:val="none" w:sz="0" w:space="0" w:color="auto"/>
          </w:divBdr>
          <w:divsChild>
            <w:div w:id="592589331">
              <w:marLeft w:val="0"/>
              <w:marRight w:val="0"/>
              <w:marTop w:val="0"/>
              <w:marBottom w:val="0"/>
              <w:divBdr>
                <w:top w:val="none" w:sz="0" w:space="0" w:color="auto"/>
                <w:left w:val="none" w:sz="0" w:space="0" w:color="auto"/>
                <w:bottom w:val="none" w:sz="0" w:space="0" w:color="auto"/>
                <w:right w:val="none" w:sz="0" w:space="0" w:color="auto"/>
              </w:divBdr>
            </w:div>
          </w:divsChild>
        </w:div>
        <w:div w:id="1469937027">
          <w:marLeft w:val="0"/>
          <w:marRight w:val="0"/>
          <w:marTop w:val="120"/>
          <w:marBottom w:val="0"/>
          <w:divBdr>
            <w:top w:val="none" w:sz="0" w:space="0" w:color="auto"/>
            <w:left w:val="none" w:sz="0" w:space="0" w:color="auto"/>
            <w:bottom w:val="none" w:sz="0" w:space="0" w:color="auto"/>
            <w:right w:val="none" w:sz="0" w:space="0" w:color="auto"/>
          </w:divBdr>
          <w:divsChild>
            <w:div w:id="1174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12498">
      <w:bodyDiv w:val="1"/>
      <w:marLeft w:val="0"/>
      <w:marRight w:val="0"/>
      <w:marTop w:val="0"/>
      <w:marBottom w:val="0"/>
      <w:divBdr>
        <w:top w:val="none" w:sz="0" w:space="0" w:color="auto"/>
        <w:left w:val="none" w:sz="0" w:space="0" w:color="auto"/>
        <w:bottom w:val="none" w:sz="0" w:space="0" w:color="auto"/>
        <w:right w:val="none" w:sz="0" w:space="0" w:color="auto"/>
      </w:divBdr>
    </w:div>
    <w:div w:id="1605650027">
      <w:bodyDiv w:val="1"/>
      <w:marLeft w:val="0"/>
      <w:marRight w:val="0"/>
      <w:marTop w:val="0"/>
      <w:marBottom w:val="0"/>
      <w:divBdr>
        <w:top w:val="none" w:sz="0" w:space="0" w:color="auto"/>
        <w:left w:val="none" w:sz="0" w:space="0" w:color="auto"/>
        <w:bottom w:val="none" w:sz="0" w:space="0" w:color="auto"/>
        <w:right w:val="none" w:sz="0" w:space="0" w:color="auto"/>
      </w:divBdr>
    </w:div>
    <w:div w:id="21268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2.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chart" Target="charts/chart17.xml"/><Relationship Id="rId42"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chart" Target="charts/chart9.xml"/><Relationship Id="rId33" Type="http://schemas.openxmlformats.org/officeDocument/2006/relationships/chart" Target="charts/chart16.xml"/><Relationship Id="rId38" Type="http://schemas.openxmlformats.org/officeDocument/2006/relationships/chart" Target="charts/chart2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hart" Target="charts/chart4.xml"/><Relationship Id="rId29" Type="http://schemas.openxmlformats.org/officeDocument/2006/relationships/image" Target="media/image2.png"/><Relationship Id="rId41"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19.xm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chart" Target="charts/chart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4.xm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lexanderewart:Desktop:Lesotho%202:SOE%20Report%202:SOE%20Report%20Submitted:New%20Lesotho%20Charts%20v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alexanderewart:Desktop:New%20Lesotho%20Charts%20v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alexanderewart:Desktop:SOE%20Database%20-%20Master%20FINAL%20Sandy%20(version%2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alexanderewart:Desktop:SOE%20Database%20-%20Master%20FINAL%20Sandy%20(version%2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alexanderewart:Desktop:New%20Lesotho%20Charts%20v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alexanderewart:Desktop:New%20Lesotho%20Charts%20v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alexanderewart:Desktop:New%20Lesotho%20Charts%20v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alexanderewart:Desktop:New%20Lesotho%20Charts%20v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alexanderewart:Desktop:New%20Lesotho%20Charts%20v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alexanderewart:Desktop:New%20Lesotho%20Charts%20v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Macintosh%20HD:Users:alexanderewart:Desktop:New%20Lesotho%20Charts%20v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lexanderewart:Desktop:New%20Lesotho%20Charts%20v3.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Macintosh%20HD:Users:alexanderewart:Desktop:New%20Lesotho%20Charts%20v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Macintosh%20HD:Users:alexanderewart:Desktop:New%20Lesotho%20Charts%20v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Macintosh%20HD:Users:alexanderewart:Desktop:New%20Lesotho%20Charts%20v3.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Macintosh%20HD:Users:alexanderewart:Desktop:New%20Lesotho%20Charts%20v3.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Macintosh%20HD:Users:alexanderewart:Desktop:New%20Lesotho%20Charts%20v3.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Macintosh%20HD:Users:alexanderewart:Desktop:New%20Lesotho%20Charts%20v3.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Macintosh%20HD:Users:alexanderewart:Desktop:New%20Lesotho%20Charts%20v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lexanderewart:Desktop:Lesotho%202:SOE%20Report%202:SOE%20Report%20Submitted:New%20Lesotho%20Charts%20v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lexanderewart:Desktop:Lesotho%202:SOE%20Report%202:SOE%20Report%20Submitted:New%20Lesotho%20Charts%20v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alexanderewart:Desktop:Lesotho%202:SOE%20Report%202:SOE%20Report%20Submitted:New%20Lesotho%20Charts%20v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alexanderewart:Desktop:Lesotho%202:SOE%20Report%202:SOE%20Report%20Submitted:New%20Lesotho%20Charts%20v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alexanderewart:Desktop:New%20Lesotho%20Charts%20v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alexanderewart:Desktop:New%20Lesotho%20Charts%20v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alexanderewart:Desktop:New%20Lesotho%20Charts%20v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'GDP (2)'!$B$35</c:f>
              <c:strCache>
                <c:ptCount val="1"/>
                <c:pt idx="0">
                  <c:v>GDP Bln$</c:v>
                </c:pt>
              </c:strCache>
            </c:strRef>
          </c:tx>
          <c:spPr>
            <a:solidFill>
              <a:srgbClr val="3366FF"/>
            </a:solidFill>
          </c:spPr>
          <c:invertIfNegative val="0"/>
          <c:cat>
            <c:numRef>
              <c:f>'GDP (2)'!$C$34:$K$34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'GDP (2)'!$C$35:$K$35</c:f>
              <c:numCache>
                <c:formatCode>0.00</c:formatCode>
                <c:ptCount val="9"/>
                <c:pt idx="0">
                  <c:v>1.774</c:v>
                </c:pt>
                <c:pt idx="1">
                  <c:v>2.395</c:v>
                </c:pt>
                <c:pt idx="2">
                  <c:v>2.7919999999999998</c:v>
                </c:pt>
                <c:pt idx="3">
                  <c:v>2.6680000000000001</c:v>
                </c:pt>
                <c:pt idx="4">
                  <c:v>2.5339999999999998</c:v>
                </c:pt>
                <c:pt idx="5">
                  <c:v>2.6080000000000001</c:v>
                </c:pt>
                <c:pt idx="6">
                  <c:v>2.29</c:v>
                </c:pt>
                <c:pt idx="7">
                  <c:v>2.3140000000000001</c:v>
                </c:pt>
                <c:pt idx="8">
                  <c:v>2.5649999999999999</c:v>
                </c:pt>
              </c:numCache>
            </c:numRef>
          </c:val>
          <c:extLst>
            <c:ext xmlns:c16="http://schemas.microsoft.com/office/drawing/2014/chart" uri="{C3380CC4-5D6E-409C-BE32-E72D297353CC}">
              <c16:uniqueId val="{00000000-B6CD-41D4-B20B-15FE9577279F}"/>
            </c:ext>
          </c:extLst>
        </c:ser>
        <c:ser>
          <c:idx val="1"/>
          <c:order val="1"/>
          <c:tx>
            <c:strRef>
              <c:f>'GDP (2)'!$B$36</c:f>
              <c:strCache>
                <c:ptCount val="1"/>
                <c:pt idx="0">
                  <c:v>Total %</c:v>
                </c:pt>
              </c:strCache>
            </c:strRef>
          </c:tx>
          <c:invertIfNegative val="0"/>
          <c:cat>
            <c:numRef>
              <c:f>'GDP (2)'!$C$34:$K$34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'GDP (2)'!$C$36:$K$36</c:f>
            </c:numRef>
          </c:val>
          <c:extLst>
            <c:ext xmlns:c16="http://schemas.microsoft.com/office/drawing/2014/chart" uri="{C3380CC4-5D6E-409C-BE32-E72D297353CC}">
              <c16:uniqueId val="{00000001-B6CD-41D4-B20B-15FE9577279F}"/>
            </c:ext>
          </c:extLst>
        </c:ser>
        <c:dLbls>
          <c:showLegendKey val="0"/>
          <c:showVal val="0"/>
          <c:showCatName val="0"/>
          <c:showSerName val="0"/>
          <c:showPercent val="0"/>
          <c:showBubbleSize val="0"/>
        </c:dLbls>
        <c:gapWidth val="150"/>
        <c:axId val="2118161928"/>
        <c:axId val="2118158600"/>
      </c:barChart>
      <c:lineChart>
        <c:grouping val="standard"/>
        <c:varyColors val="0"/>
        <c:ser>
          <c:idx val="2"/>
          <c:order val="2"/>
          <c:tx>
            <c:strRef>
              <c:f>'GDP (2)'!$B$37</c:f>
              <c:strCache>
                <c:ptCount val="1"/>
                <c:pt idx="0">
                  <c:v> Revenue All SOEs %</c:v>
                </c:pt>
              </c:strCache>
            </c:strRef>
          </c:tx>
          <c:spPr>
            <a:ln>
              <a:solidFill>
                <a:srgbClr val="FFFF00"/>
              </a:solidFill>
            </a:ln>
          </c:spPr>
          <c:marker>
            <c:symbol val="none"/>
          </c:marker>
          <c:cat>
            <c:numRef>
              <c:f>'GDP (2)'!$C$34:$K$34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'GDP (2)'!$C$37:$K$37</c:f>
              <c:numCache>
                <c:formatCode>0.00%</c:formatCode>
                <c:ptCount val="9"/>
                <c:pt idx="0">
                  <c:v>0.10202931228861301</c:v>
                </c:pt>
                <c:pt idx="1">
                  <c:v>8.8935281837160707E-2</c:v>
                </c:pt>
                <c:pt idx="2">
                  <c:v>7.2349570200573102E-2</c:v>
                </c:pt>
                <c:pt idx="3">
                  <c:v>7.9460269865067504E-2</c:v>
                </c:pt>
                <c:pt idx="4">
                  <c:v>7.4191002367797895E-2</c:v>
                </c:pt>
                <c:pt idx="5">
                  <c:v>7.3619631901840496E-2</c:v>
                </c:pt>
                <c:pt idx="6">
                  <c:v>0.121834061135371</c:v>
                </c:pt>
                <c:pt idx="7">
                  <c:v>7.7355229040622295E-2</c:v>
                </c:pt>
                <c:pt idx="8">
                  <c:v>8.42105263157895E-2</c:v>
                </c:pt>
              </c:numCache>
            </c:numRef>
          </c:val>
          <c:smooth val="0"/>
          <c:extLst>
            <c:ext xmlns:c16="http://schemas.microsoft.com/office/drawing/2014/chart" uri="{C3380CC4-5D6E-409C-BE32-E72D297353CC}">
              <c16:uniqueId val="{00000002-B6CD-41D4-B20B-15FE9577279F}"/>
            </c:ext>
          </c:extLst>
        </c:ser>
        <c:ser>
          <c:idx val="3"/>
          <c:order val="3"/>
          <c:tx>
            <c:strRef>
              <c:f>'GDP (2)'!$B$38</c:f>
              <c:strCache>
                <c:ptCount val="1"/>
                <c:pt idx="0">
                  <c:v>Revenue GoL Minority Investments %</c:v>
                </c:pt>
              </c:strCache>
            </c:strRef>
          </c:tx>
          <c:spPr>
            <a:ln>
              <a:solidFill>
                <a:srgbClr val="FF6600"/>
              </a:solidFill>
            </a:ln>
          </c:spPr>
          <c:marker>
            <c:symbol val="none"/>
          </c:marker>
          <c:cat>
            <c:numRef>
              <c:f>'GDP (2)'!$C$34:$K$34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'GDP (2)'!$C$38:$K$38</c:f>
              <c:numCache>
                <c:formatCode>0.00%</c:formatCode>
                <c:ptCount val="9"/>
                <c:pt idx="0">
                  <c:v>0.21758737316798199</c:v>
                </c:pt>
                <c:pt idx="1">
                  <c:v>0.17536534446764099</c:v>
                </c:pt>
                <c:pt idx="2">
                  <c:v>0.17908309455587401</c:v>
                </c:pt>
                <c:pt idx="3">
                  <c:v>0.169790104947526</c:v>
                </c:pt>
                <c:pt idx="4">
                  <c:v>0.16969218626677199</c:v>
                </c:pt>
                <c:pt idx="5">
                  <c:v>0.214340490797546</c:v>
                </c:pt>
                <c:pt idx="6">
                  <c:v>0.32096069868995603</c:v>
                </c:pt>
                <c:pt idx="7">
                  <c:v>0.197493517718237</c:v>
                </c:pt>
                <c:pt idx="8">
                  <c:v>0.166081871345029</c:v>
                </c:pt>
              </c:numCache>
            </c:numRef>
          </c:val>
          <c:smooth val="0"/>
          <c:extLst>
            <c:ext xmlns:c16="http://schemas.microsoft.com/office/drawing/2014/chart" uri="{C3380CC4-5D6E-409C-BE32-E72D297353CC}">
              <c16:uniqueId val="{00000003-B6CD-41D4-B20B-15FE9577279F}"/>
            </c:ext>
          </c:extLst>
        </c:ser>
        <c:dLbls>
          <c:showLegendKey val="0"/>
          <c:showVal val="0"/>
          <c:showCatName val="0"/>
          <c:showSerName val="0"/>
          <c:showPercent val="0"/>
          <c:showBubbleSize val="0"/>
        </c:dLbls>
        <c:marker val="1"/>
        <c:smooth val="0"/>
        <c:axId val="2118152600"/>
        <c:axId val="2118155624"/>
      </c:lineChart>
      <c:catAx>
        <c:axId val="2118161928"/>
        <c:scaling>
          <c:orientation val="minMax"/>
        </c:scaling>
        <c:delete val="0"/>
        <c:axPos val="b"/>
        <c:numFmt formatCode="General" sourceLinked="1"/>
        <c:majorTickMark val="out"/>
        <c:minorTickMark val="none"/>
        <c:tickLblPos val="nextTo"/>
        <c:crossAx val="2118158600"/>
        <c:crosses val="autoZero"/>
        <c:auto val="1"/>
        <c:lblAlgn val="ctr"/>
        <c:lblOffset val="100"/>
        <c:noMultiLvlLbl val="0"/>
      </c:catAx>
      <c:valAx>
        <c:axId val="2118158600"/>
        <c:scaling>
          <c:orientation val="minMax"/>
        </c:scaling>
        <c:delete val="0"/>
        <c:axPos val="l"/>
        <c:majorGridlines/>
        <c:numFmt formatCode="0.00" sourceLinked="1"/>
        <c:majorTickMark val="out"/>
        <c:minorTickMark val="none"/>
        <c:tickLblPos val="nextTo"/>
        <c:crossAx val="2118161928"/>
        <c:crosses val="autoZero"/>
        <c:crossBetween val="between"/>
      </c:valAx>
      <c:valAx>
        <c:axId val="2118155624"/>
        <c:scaling>
          <c:orientation val="minMax"/>
        </c:scaling>
        <c:delete val="0"/>
        <c:axPos val="r"/>
        <c:numFmt formatCode="0.00%" sourceLinked="1"/>
        <c:majorTickMark val="out"/>
        <c:minorTickMark val="none"/>
        <c:tickLblPos val="nextTo"/>
        <c:txPr>
          <a:bodyPr/>
          <a:lstStyle/>
          <a:p>
            <a:pPr>
              <a:defRPr sz="900"/>
            </a:pPr>
            <a:endParaRPr lang="en-US"/>
          </a:p>
        </c:txPr>
        <c:crossAx val="2118152600"/>
        <c:crosses val="max"/>
        <c:crossBetween val="between"/>
      </c:valAx>
      <c:catAx>
        <c:axId val="2118152600"/>
        <c:scaling>
          <c:orientation val="minMax"/>
        </c:scaling>
        <c:delete val="1"/>
        <c:axPos val="b"/>
        <c:numFmt formatCode="General" sourceLinked="1"/>
        <c:majorTickMark val="out"/>
        <c:minorTickMark val="none"/>
        <c:tickLblPos val="nextTo"/>
        <c:crossAx val="2118155624"/>
        <c:crosses val="autoZero"/>
        <c:auto val="1"/>
        <c:lblAlgn val="ctr"/>
        <c:lblOffset val="100"/>
        <c:noMultiLvlLbl val="0"/>
      </c:cat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txPr>
    <a:bodyPr/>
    <a:lstStyle/>
    <a:p>
      <a:pPr>
        <a:defRPr sz="9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Minority</a:t>
            </a:r>
            <a:r>
              <a:rPr lang="en-US" sz="1000" baseline="0"/>
              <a:t> Holdings</a:t>
            </a:r>
            <a:r>
              <a:rPr lang="en-US" sz="1000"/>
              <a:t>: Returns Over 6 Years </a:t>
            </a:r>
          </a:p>
        </c:rich>
      </c:tx>
      <c:overlay val="0"/>
    </c:title>
    <c:autoTitleDeleted val="0"/>
    <c:plotArea>
      <c:layout/>
      <c:barChart>
        <c:barDir val="col"/>
        <c:grouping val="clustered"/>
        <c:varyColors val="0"/>
        <c:ser>
          <c:idx val="0"/>
          <c:order val="0"/>
          <c:tx>
            <c:strRef>
              <c:f>Minority!$D$27</c:f>
              <c:strCache>
                <c:ptCount val="1"/>
                <c:pt idx="0">
                  <c:v>Total Revenue</c:v>
                </c:pt>
              </c:strCache>
            </c:strRef>
          </c:tx>
          <c:invertIfNegative val="0"/>
          <c:cat>
            <c:strRef>
              <c:f>Minority!$E$26:$J$26</c:f>
              <c:strCache>
                <c:ptCount val="6"/>
                <c:pt idx="0">
                  <c:v>2012/13</c:v>
                </c:pt>
                <c:pt idx="1">
                  <c:v>2013/14</c:v>
                </c:pt>
                <c:pt idx="2">
                  <c:v>2014/15</c:v>
                </c:pt>
                <c:pt idx="3">
                  <c:v>2015/16</c:v>
                </c:pt>
                <c:pt idx="4">
                  <c:v>2016/17</c:v>
                </c:pt>
                <c:pt idx="5">
                  <c:v>2017/18</c:v>
                </c:pt>
              </c:strCache>
            </c:strRef>
          </c:cat>
          <c:val>
            <c:numRef>
              <c:f>Minority!$E$27:$J$27</c:f>
              <c:numCache>
                <c:formatCode>#,##0</c:formatCode>
                <c:ptCount val="6"/>
                <c:pt idx="0">
                  <c:v>3769022</c:v>
                </c:pt>
                <c:pt idx="1">
                  <c:v>4325128</c:v>
                </c:pt>
                <c:pt idx="2">
                  <c:v>6321173</c:v>
                </c:pt>
                <c:pt idx="3">
                  <c:v>6485169</c:v>
                </c:pt>
                <c:pt idx="4">
                  <c:v>6275157</c:v>
                </c:pt>
                <c:pt idx="5">
                  <c:v>5779167</c:v>
                </c:pt>
              </c:numCache>
            </c:numRef>
          </c:val>
          <c:extLst>
            <c:ext xmlns:c16="http://schemas.microsoft.com/office/drawing/2014/chart" uri="{C3380CC4-5D6E-409C-BE32-E72D297353CC}">
              <c16:uniqueId val="{00000000-AC06-4B60-B7CC-E71F3806932E}"/>
            </c:ext>
          </c:extLst>
        </c:ser>
        <c:dLbls>
          <c:showLegendKey val="0"/>
          <c:showVal val="0"/>
          <c:showCatName val="0"/>
          <c:showSerName val="0"/>
          <c:showPercent val="0"/>
          <c:showBubbleSize val="0"/>
        </c:dLbls>
        <c:gapWidth val="150"/>
        <c:axId val="2120479784"/>
        <c:axId val="2120476744"/>
      </c:barChart>
      <c:lineChart>
        <c:grouping val="standard"/>
        <c:varyColors val="0"/>
        <c:ser>
          <c:idx val="1"/>
          <c:order val="1"/>
          <c:tx>
            <c:strRef>
              <c:f>Minority!$D$28</c:f>
              <c:strCache>
                <c:ptCount val="1"/>
                <c:pt idx="0">
                  <c:v>EBITDA %</c:v>
                </c:pt>
              </c:strCache>
            </c:strRef>
          </c:tx>
          <c:marker>
            <c:symbol val="none"/>
          </c:marker>
          <c:cat>
            <c:strRef>
              <c:f>Minority!$E$26:$J$26</c:f>
              <c:strCache>
                <c:ptCount val="6"/>
                <c:pt idx="0">
                  <c:v>2012/13</c:v>
                </c:pt>
                <c:pt idx="1">
                  <c:v>2013/14</c:v>
                </c:pt>
                <c:pt idx="2">
                  <c:v>2014/15</c:v>
                </c:pt>
                <c:pt idx="3">
                  <c:v>2015/16</c:v>
                </c:pt>
                <c:pt idx="4">
                  <c:v>2016/17</c:v>
                </c:pt>
                <c:pt idx="5">
                  <c:v>2017/18</c:v>
                </c:pt>
              </c:strCache>
            </c:strRef>
          </c:cat>
          <c:val>
            <c:numRef>
              <c:f>Minority!$E$28:$J$28</c:f>
              <c:numCache>
                <c:formatCode>0%</c:formatCode>
                <c:ptCount val="6"/>
                <c:pt idx="0">
                  <c:v>0.32</c:v>
                </c:pt>
                <c:pt idx="1">
                  <c:v>0.34</c:v>
                </c:pt>
                <c:pt idx="2">
                  <c:v>0.38</c:v>
                </c:pt>
                <c:pt idx="3">
                  <c:v>0.4</c:v>
                </c:pt>
                <c:pt idx="4">
                  <c:v>0.38</c:v>
                </c:pt>
                <c:pt idx="5">
                  <c:v>0.46</c:v>
                </c:pt>
              </c:numCache>
            </c:numRef>
          </c:val>
          <c:smooth val="0"/>
          <c:extLst>
            <c:ext xmlns:c16="http://schemas.microsoft.com/office/drawing/2014/chart" uri="{C3380CC4-5D6E-409C-BE32-E72D297353CC}">
              <c16:uniqueId val="{00000001-AC06-4B60-B7CC-E71F3806932E}"/>
            </c:ext>
          </c:extLst>
        </c:ser>
        <c:ser>
          <c:idx val="2"/>
          <c:order val="2"/>
          <c:tx>
            <c:strRef>
              <c:f>Minority!$D$29</c:f>
              <c:strCache>
                <c:ptCount val="1"/>
                <c:pt idx="0">
                  <c:v>NOPT %</c:v>
                </c:pt>
              </c:strCache>
            </c:strRef>
          </c:tx>
          <c:marker>
            <c:symbol val="none"/>
          </c:marker>
          <c:cat>
            <c:strRef>
              <c:f>Minority!$E$26:$J$26</c:f>
              <c:strCache>
                <c:ptCount val="6"/>
                <c:pt idx="0">
                  <c:v>2012/13</c:v>
                </c:pt>
                <c:pt idx="1">
                  <c:v>2013/14</c:v>
                </c:pt>
                <c:pt idx="2">
                  <c:v>2014/15</c:v>
                </c:pt>
                <c:pt idx="3">
                  <c:v>2015/16</c:v>
                </c:pt>
                <c:pt idx="4">
                  <c:v>2016/17</c:v>
                </c:pt>
                <c:pt idx="5">
                  <c:v>2017/18</c:v>
                </c:pt>
              </c:strCache>
            </c:strRef>
          </c:cat>
          <c:val>
            <c:numRef>
              <c:f>Minority!$E$29:$J$29</c:f>
              <c:numCache>
                <c:formatCode>0.00%</c:formatCode>
                <c:ptCount val="6"/>
                <c:pt idx="0">
                  <c:v>0.161</c:v>
                </c:pt>
                <c:pt idx="1">
                  <c:v>0.159</c:v>
                </c:pt>
                <c:pt idx="2">
                  <c:v>0.188</c:v>
                </c:pt>
                <c:pt idx="3">
                  <c:v>0.17699999999999999</c:v>
                </c:pt>
                <c:pt idx="4">
                  <c:v>0.14499999999999999</c:v>
                </c:pt>
                <c:pt idx="5">
                  <c:v>0.17100000000000001</c:v>
                </c:pt>
              </c:numCache>
            </c:numRef>
          </c:val>
          <c:smooth val="0"/>
          <c:extLst>
            <c:ext xmlns:c16="http://schemas.microsoft.com/office/drawing/2014/chart" uri="{C3380CC4-5D6E-409C-BE32-E72D297353CC}">
              <c16:uniqueId val="{00000002-AC06-4B60-B7CC-E71F3806932E}"/>
            </c:ext>
          </c:extLst>
        </c:ser>
        <c:ser>
          <c:idx val="3"/>
          <c:order val="3"/>
          <c:tx>
            <c:strRef>
              <c:f>Minority!$D$30</c:f>
              <c:strCache>
                <c:ptCount val="1"/>
                <c:pt idx="0">
                  <c:v>ROE %</c:v>
                </c:pt>
              </c:strCache>
            </c:strRef>
          </c:tx>
          <c:marker>
            <c:symbol val="none"/>
          </c:marker>
          <c:cat>
            <c:strRef>
              <c:f>Minority!$E$26:$J$26</c:f>
              <c:strCache>
                <c:ptCount val="6"/>
                <c:pt idx="0">
                  <c:v>2012/13</c:v>
                </c:pt>
                <c:pt idx="1">
                  <c:v>2013/14</c:v>
                </c:pt>
                <c:pt idx="2">
                  <c:v>2014/15</c:v>
                </c:pt>
                <c:pt idx="3">
                  <c:v>2015/16</c:v>
                </c:pt>
                <c:pt idx="4">
                  <c:v>2016/17</c:v>
                </c:pt>
                <c:pt idx="5">
                  <c:v>2017/18</c:v>
                </c:pt>
              </c:strCache>
            </c:strRef>
          </c:cat>
          <c:val>
            <c:numRef>
              <c:f>Minority!$E$30:$J$30</c:f>
              <c:numCache>
                <c:formatCode>0.00%</c:formatCode>
                <c:ptCount val="6"/>
                <c:pt idx="0">
                  <c:v>0.29299999999999998</c:v>
                </c:pt>
                <c:pt idx="1">
                  <c:v>0.29299999999999998</c:v>
                </c:pt>
                <c:pt idx="2">
                  <c:v>0.76600000000000001</c:v>
                </c:pt>
                <c:pt idx="3">
                  <c:v>0.43</c:v>
                </c:pt>
                <c:pt idx="4">
                  <c:v>0.35399999999999998</c:v>
                </c:pt>
                <c:pt idx="5">
                  <c:v>0.28399999999999997</c:v>
                </c:pt>
              </c:numCache>
            </c:numRef>
          </c:val>
          <c:smooth val="0"/>
          <c:extLst>
            <c:ext xmlns:c16="http://schemas.microsoft.com/office/drawing/2014/chart" uri="{C3380CC4-5D6E-409C-BE32-E72D297353CC}">
              <c16:uniqueId val="{00000003-AC06-4B60-B7CC-E71F3806932E}"/>
            </c:ext>
          </c:extLst>
        </c:ser>
        <c:ser>
          <c:idx val="4"/>
          <c:order val="4"/>
          <c:tx>
            <c:strRef>
              <c:f>Minority!$D$31</c:f>
              <c:strCache>
                <c:ptCount val="1"/>
                <c:pt idx="0">
                  <c:v>ROA%</c:v>
                </c:pt>
              </c:strCache>
            </c:strRef>
          </c:tx>
          <c:marker>
            <c:symbol val="none"/>
          </c:marker>
          <c:cat>
            <c:strRef>
              <c:f>Minority!$E$26:$J$26</c:f>
              <c:strCache>
                <c:ptCount val="6"/>
                <c:pt idx="0">
                  <c:v>2012/13</c:v>
                </c:pt>
                <c:pt idx="1">
                  <c:v>2013/14</c:v>
                </c:pt>
                <c:pt idx="2">
                  <c:v>2014/15</c:v>
                </c:pt>
                <c:pt idx="3">
                  <c:v>2015/16</c:v>
                </c:pt>
                <c:pt idx="4">
                  <c:v>2016/17</c:v>
                </c:pt>
                <c:pt idx="5">
                  <c:v>2017/18</c:v>
                </c:pt>
              </c:strCache>
            </c:strRef>
          </c:cat>
          <c:val>
            <c:numRef>
              <c:f>Minority!$E$31:$J$31</c:f>
              <c:numCache>
                <c:formatCode>0.00%</c:formatCode>
                <c:ptCount val="6"/>
                <c:pt idx="0">
                  <c:v>6.6000000000000003E-2</c:v>
                </c:pt>
                <c:pt idx="1">
                  <c:v>6.6000000000000003E-2</c:v>
                </c:pt>
                <c:pt idx="2">
                  <c:v>9.4E-2</c:v>
                </c:pt>
                <c:pt idx="3">
                  <c:v>0.08</c:v>
                </c:pt>
                <c:pt idx="4">
                  <c:v>7.0000000000000007E-2</c:v>
                </c:pt>
                <c:pt idx="5">
                  <c:v>6.7000000000000004E-2</c:v>
                </c:pt>
              </c:numCache>
            </c:numRef>
          </c:val>
          <c:smooth val="0"/>
          <c:extLst>
            <c:ext xmlns:c16="http://schemas.microsoft.com/office/drawing/2014/chart" uri="{C3380CC4-5D6E-409C-BE32-E72D297353CC}">
              <c16:uniqueId val="{00000004-AC06-4B60-B7CC-E71F3806932E}"/>
            </c:ext>
          </c:extLst>
        </c:ser>
        <c:dLbls>
          <c:showLegendKey val="0"/>
          <c:showVal val="0"/>
          <c:showCatName val="0"/>
          <c:showSerName val="0"/>
          <c:showPercent val="0"/>
          <c:showBubbleSize val="0"/>
        </c:dLbls>
        <c:marker val="1"/>
        <c:smooth val="0"/>
        <c:axId val="2120470520"/>
        <c:axId val="2120473608"/>
      </c:lineChart>
      <c:catAx>
        <c:axId val="2120470520"/>
        <c:scaling>
          <c:orientation val="minMax"/>
        </c:scaling>
        <c:delete val="0"/>
        <c:axPos val="b"/>
        <c:numFmt formatCode="General" sourceLinked="0"/>
        <c:majorTickMark val="out"/>
        <c:minorTickMark val="none"/>
        <c:tickLblPos val="nextTo"/>
        <c:txPr>
          <a:bodyPr/>
          <a:lstStyle/>
          <a:p>
            <a:pPr>
              <a:defRPr sz="900"/>
            </a:pPr>
            <a:endParaRPr lang="en-US"/>
          </a:p>
        </c:txPr>
        <c:crossAx val="2120473608"/>
        <c:crosses val="autoZero"/>
        <c:auto val="1"/>
        <c:lblAlgn val="ctr"/>
        <c:lblOffset val="100"/>
        <c:noMultiLvlLbl val="0"/>
      </c:catAx>
      <c:valAx>
        <c:axId val="2120473608"/>
        <c:scaling>
          <c:orientation val="minMax"/>
        </c:scaling>
        <c:delete val="0"/>
        <c:axPos val="l"/>
        <c:majorGridlines/>
        <c:numFmt formatCode="0%" sourceLinked="1"/>
        <c:majorTickMark val="out"/>
        <c:minorTickMark val="none"/>
        <c:tickLblPos val="nextTo"/>
        <c:txPr>
          <a:bodyPr/>
          <a:lstStyle/>
          <a:p>
            <a:pPr>
              <a:defRPr sz="900"/>
            </a:pPr>
            <a:endParaRPr lang="en-US"/>
          </a:p>
        </c:txPr>
        <c:crossAx val="2120470520"/>
        <c:crosses val="autoZero"/>
        <c:crossBetween val="between"/>
      </c:valAx>
      <c:valAx>
        <c:axId val="2120476744"/>
        <c:scaling>
          <c:orientation val="minMax"/>
        </c:scaling>
        <c:delete val="0"/>
        <c:axPos val="r"/>
        <c:numFmt formatCode="#,##0" sourceLinked="1"/>
        <c:majorTickMark val="out"/>
        <c:minorTickMark val="none"/>
        <c:tickLblPos val="nextTo"/>
        <c:txPr>
          <a:bodyPr/>
          <a:lstStyle/>
          <a:p>
            <a:pPr>
              <a:defRPr sz="900"/>
            </a:pPr>
            <a:endParaRPr lang="en-US"/>
          </a:p>
        </c:txPr>
        <c:crossAx val="2120479784"/>
        <c:crosses val="max"/>
        <c:crossBetween val="between"/>
      </c:valAx>
      <c:catAx>
        <c:axId val="2120479784"/>
        <c:scaling>
          <c:orientation val="minMax"/>
        </c:scaling>
        <c:delete val="1"/>
        <c:axPos val="b"/>
        <c:numFmt formatCode="General" sourceLinked="1"/>
        <c:majorTickMark val="out"/>
        <c:minorTickMark val="none"/>
        <c:tickLblPos val="nextTo"/>
        <c:crossAx val="2120476744"/>
        <c:crosses val="autoZero"/>
        <c:auto val="1"/>
        <c:lblAlgn val="ctr"/>
        <c:lblOffset val="100"/>
        <c:noMultiLvlLbl val="0"/>
      </c:cat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000" b="1"/>
              <a:t>Sector Contributions 2017/18 (M'000)</a:t>
            </a:r>
          </a:p>
        </c:rich>
      </c:tx>
      <c:overlay val="0"/>
      <c:spPr>
        <a:noFill/>
        <a:ln>
          <a:noFill/>
        </a:ln>
        <a:effectLst/>
      </c:spPr>
    </c:title>
    <c:autoTitleDeleted val="0"/>
    <c:plotArea>
      <c:layout/>
      <c:barChart>
        <c:barDir val="col"/>
        <c:grouping val="clustered"/>
        <c:varyColors val="0"/>
        <c:ser>
          <c:idx val="1"/>
          <c:order val="1"/>
          <c:tx>
            <c:strRef>
              <c:f>General!$H$43</c:f>
              <c:strCache>
                <c:ptCount val="1"/>
                <c:pt idx="0">
                  <c:v>NOPAT</c:v>
                </c:pt>
              </c:strCache>
            </c:strRef>
          </c:tx>
          <c:spPr>
            <a:solidFill>
              <a:schemeClr val="accent2"/>
            </a:solidFill>
            <a:ln>
              <a:noFill/>
            </a:ln>
            <a:effectLst/>
          </c:spPr>
          <c:invertIfNegative val="0"/>
          <c:cat>
            <c:strRef>
              <c:f>General!$E$45:$E$48</c:f>
              <c:strCache>
                <c:ptCount val="4"/>
                <c:pt idx="0">
                  <c:v>Banking &amp; Insurance</c:v>
                </c:pt>
                <c:pt idx="1">
                  <c:v>Industrial </c:v>
                </c:pt>
                <c:pt idx="2">
                  <c:v>Mining</c:v>
                </c:pt>
                <c:pt idx="3">
                  <c:v>Other</c:v>
                </c:pt>
              </c:strCache>
            </c:strRef>
          </c:cat>
          <c:val>
            <c:numRef>
              <c:f>General!$H$45:$H$48</c:f>
              <c:numCache>
                <c:formatCode>_(* #,##0_);_(* \(#,##0\);_(* "-"??_);_(@_)</c:formatCode>
                <c:ptCount val="4"/>
                <c:pt idx="0">
                  <c:v>368751</c:v>
                </c:pt>
                <c:pt idx="1">
                  <c:v>166209</c:v>
                </c:pt>
                <c:pt idx="2">
                  <c:v>628260</c:v>
                </c:pt>
                <c:pt idx="3">
                  <c:v>169850</c:v>
                </c:pt>
              </c:numCache>
            </c:numRef>
          </c:val>
          <c:extLst>
            <c:ext xmlns:c16="http://schemas.microsoft.com/office/drawing/2014/chart" uri="{C3380CC4-5D6E-409C-BE32-E72D297353CC}">
              <c16:uniqueId val="{00000001-172E-814F-8013-CFF4B0700BBB}"/>
            </c:ext>
          </c:extLst>
        </c:ser>
        <c:ser>
          <c:idx val="3"/>
          <c:order val="2"/>
          <c:tx>
            <c:strRef>
              <c:f>General!$J$43</c:f>
              <c:strCache>
                <c:ptCount val="1"/>
                <c:pt idx="0">
                  <c:v>Taxes</c:v>
                </c:pt>
              </c:strCache>
            </c:strRef>
          </c:tx>
          <c:spPr>
            <a:solidFill>
              <a:srgbClr val="3366FF"/>
            </a:solidFill>
            <a:ln>
              <a:noFill/>
            </a:ln>
            <a:effectLst/>
          </c:spPr>
          <c:invertIfNegative val="0"/>
          <c:cat>
            <c:strRef>
              <c:f>General!$E$45:$E$48</c:f>
              <c:strCache>
                <c:ptCount val="4"/>
                <c:pt idx="0">
                  <c:v>Banking &amp; Insurance</c:v>
                </c:pt>
                <c:pt idx="1">
                  <c:v>Industrial </c:v>
                </c:pt>
                <c:pt idx="2">
                  <c:v>Mining</c:v>
                </c:pt>
                <c:pt idx="3">
                  <c:v>Other</c:v>
                </c:pt>
              </c:strCache>
            </c:strRef>
          </c:cat>
          <c:val>
            <c:numRef>
              <c:f>General!$J$45:$J$48</c:f>
              <c:numCache>
                <c:formatCode>_(* #,##0_);_(* \(#,##0\);_(* "-"??_);_(@_)</c:formatCode>
                <c:ptCount val="4"/>
                <c:pt idx="0">
                  <c:v>132606</c:v>
                </c:pt>
                <c:pt idx="1">
                  <c:v>25541</c:v>
                </c:pt>
                <c:pt idx="2">
                  <c:v>166930</c:v>
                </c:pt>
                <c:pt idx="3">
                  <c:v>37544</c:v>
                </c:pt>
              </c:numCache>
            </c:numRef>
          </c:val>
          <c:extLst>
            <c:ext xmlns:c16="http://schemas.microsoft.com/office/drawing/2014/chart" uri="{C3380CC4-5D6E-409C-BE32-E72D297353CC}">
              <c16:uniqueId val="{00000003-172E-814F-8013-CFF4B0700BBB}"/>
            </c:ext>
          </c:extLst>
        </c:ser>
        <c:ser>
          <c:idx val="4"/>
          <c:order val="3"/>
          <c:tx>
            <c:strRef>
              <c:f>General!$K$43</c:f>
              <c:strCache>
                <c:ptCount val="1"/>
                <c:pt idx="0">
                  <c:v>Dividends</c:v>
                </c:pt>
              </c:strCache>
            </c:strRef>
          </c:tx>
          <c:spPr>
            <a:solidFill>
              <a:schemeClr val="accent5"/>
            </a:solidFill>
            <a:ln>
              <a:noFill/>
            </a:ln>
            <a:effectLst/>
          </c:spPr>
          <c:invertIfNegative val="0"/>
          <c:cat>
            <c:strRef>
              <c:f>General!$E$45:$E$48</c:f>
              <c:strCache>
                <c:ptCount val="4"/>
                <c:pt idx="0">
                  <c:v>Banking &amp; Insurance</c:v>
                </c:pt>
                <c:pt idx="1">
                  <c:v>Industrial </c:v>
                </c:pt>
                <c:pt idx="2">
                  <c:v>Mining</c:v>
                </c:pt>
                <c:pt idx="3">
                  <c:v>Other</c:v>
                </c:pt>
              </c:strCache>
            </c:strRef>
          </c:cat>
          <c:val>
            <c:numRef>
              <c:f>General!$K$45:$K$48</c:f>
              <c:numCache>
                <c:formatCode>_(* #,##0_);_(* \(#,##0\);_(* "-"??_);_(@_)</c:formatCode>
                <c:ptCount val="4"/>
                <c:pt idx="0">
                  <c:v>25420.400000000001</c:v>
                </c:pt>
                <c:pt idx="1">
                  <c:v>5384.4575000000004</c:v>
                </c:pt>
                <c:pt idx="2">
                  <c:v>0</c:v>
                </c:pt>
                <c:pt idx="3">
                  <c:v>2547.9999999999959</c:v>
                </c:pt>
              </c:numCache>
            </c:numRef>
          </c:val>
          <c:extLst>
            <c:ext xmlns:c16="http://schemas.microsoft.com/office/drawing/2014/chart" uri="{C3380CC4-5D6E-409C-BE32-E72D297353CC}">
              <c16:uniqueId val="{00000004-172E-814F-8013-CFF4B0700BBB}"/>
            </c:ext>
          </c:extLst>
        </c:ser>
        <c:dLbls>
          <c:showLegendKey val="0"/>
          <c:showVal val="0"/>
          <c:showCatName val="0"/>
          <c:showSerName val="0"/>
          <c:showPercent val="0"/>
          <c:showBubbleSize val="0"/>
        </c:dLbls>
        <c:gapWidth val="219"/>
        <c:overlap val="-27"/>
        <c:axId val="2120532408"/>
        <c:axId val="2120536328"/>
      </c:barChart>
      <c:lineChart>
        <c:grouping val="standard"/>
        <c:varyColors val="0"/>
        <c:ser>
          <c:idx val="0"/>
          <c:order val="0"/>
          <c:tx>
            <c:strRef>
              <c:f>General!$G$43:$G$44</c:f>
              <c:strCache>
                <c:ptCount val="1"/>
                <c:pt idx="0">
                  <c:v>Total Revenue</c:v>
                </c:pt>
              </c:strCache>
            </c:strRef>
          </c:tx>
          <c:spPr>
            <a:effectLst/>
          </c:spPr>
          <c:marker>
            <c:symbol val="none"/>
          </c:marker>
          <c:cat>
            <c:strRef>
              <c:f>General!$E$45:$E$48</c:f>
              <c:strCache>
                <c:ptCount val="4"/>
                <c:pt idx="0">
                  <c:v>Banking &amp; Insurance</c:v>
                </c:pt>
                <c:pt idx="1">
                  <c:v>Industrial </c:v>
                </c:pt>
                <c:pt idx="2">
                  <c:v>Mining</c:v>
                </c:pt>
                <c:pt idx="3">
                  <c:v>Other</c:v>
                </c:pt>
              </c:strCache>
            </c:strRef>
          </c:cat>
          <c:val>
            <c:numRef>
              <c:f>General!$G$45:$G$48</c:f>
              <c:numCache>
                <c:formatCode>_(* #,##0_);_(* \(#,##0\);_(* "-"??_);_(@_)</c:formatCode>
                <c:ptCount val="4"/>
                <c:pt idx="0">
                  <c:v>1646546</c:v>
                </c:pt>
                <c:pt idx="1">
                  <c:v>1992274</c:v>
                </c:pt>
                <c:pt idx="2">
                  <c:v>3501988</c:v>
                </c:pt>
                <c:pt idx="3">
                  <c:v>1553124</c:v>
                </c:pt>
              </c:numCache>
            </c:numRef>
          </c:val>
          <c:smooth val="0"/>
          <c:extLst>
            <c:ext xmlns:c16="http://schemas.microsoft.com/office/drawing/2014/chart" uri="{C3380CC4-5D6E-409C-BE32-E72D297353CC}">
              <c16:uniqueId val="{00000000-172E-814F-8013-CFF4B0700BBB}"/>
            </c:ext>
          </c:extLst>
        </c:ser>
        <c:dLbls>
          <c:showLegendKey val="0"/>
          <c:showVal val="0"/>
          <c:showCatName val="0"/>
          <c:showSerName val="0"/>
          <c:showPercent val="0"/>
          <c:showBubbleSize val="0"/>
        </c:dLbls>
        <c:marker val="1"/>
        <c:smooth val="0"/>
        <c:axId val="2120542952"/>
        <c:axId val="2120539992"/>
      </c:lineChart>
      <c:catAx>
        <c:axId val="2120532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0536328"/>
        <c:crosses val="autoZero"/>
        <c:auto val="1"/>
        <c:lblAlgn val="ctr"/>
        <c:lblOffset val="100"/>
        <c:noMultiLvlLbl val="0"/>
      </c:catAx>
      <c:valAx>
        <c:axId val="212053632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20532408"/>
        <c:crosses val="autoZero"/>
        <c:crossBetween val="between"/>
      </c:valAx>
      <c:valAx>
        <c:axId val="2120539992"/>
        <c:scaling>
          <c:orientation val="minMax"/>
        </c:scaling>
        <c:delete val="0"/>
        <c:axPos val="r"/>
        <c:numFmt formatCode="_(* #,##0_);_(* \(#,##0\);_(* &quot;-&quot;??_);_(@_)" sourceLinked="1"/>
        <c:majorTickMark val="out"/>
        <c:minorTickMark val="none"/>
        <c:tickLblPos val="nextTo"/>
        <c:txPr>
          <a:bodyPr/>
          <a:lstStyle/>
          <a:p>
            <a:pPr>
              <a:defRPr sz="900">
                <a:solidFill>
                  <a:srgbClr val="000000"/>
                </a:solidFill>
              </a:defRPr>
            </a:pPr>
            <a:endParaRPr lang="en-US"/>
          </a:p>
        </c:txPr>
        <c:crossAx val="2120542952"/>
        <c:crosses val="max"/>
        <c:crossBetween val="between"/>
      </c:valAx>
      <c:catAx>
        <c:axId val="2120542952"/>
        <c:scaling>
          <c:orientation val="minMax"/>
        </c:scaling>
        <c:delete val="1"/>
        <c:axPos val="b"/>
        <c:numFmt formatCode="General" sourceLinked="1"/>
        <c:majorTickMark val="out"/>
        <c:minorTickMark val="none"/>
        <c:tickLblPos val="nextTo"/>
        <c:crossAx val="21205399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a:outerShdw blurRad="50800" dist="38100" dir="2700000" algn="tl" rotWithShape="0">
        <a:srgbClr val="000000">
          <a:alpha val="43000"/>
        </a:srgbClr>
      </a:outerShdw>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Direct Inflows</a:t>
            </a:r>
            <a:r>
              <a:rPr lang="en-US" sz="1000" baseline="0"/>
              <a:t> &amp; Outflows between GoL and SOEs </a:t>
            </a:r>
            <a:endParaRPr lang="en-US" sz="1000"/>
          </a:p>
        </c:rich>
      </c:tx>
      <c:overlay val="0"/>
    </c:title>
    <c:autoTitleDeleted val="0"/>
    <c:plotArea>
      <c:layout/>
      <c:barChart>
        <c:barDir val="col"/>
        <c:grouping val="clustered"/>
        <c:varyColors val="0"/>
        <c:ser>
          <c:idx val="0"/>
          <c:order val="0"/>
          <c:tx>
            <c:strRef>
              <c:f>'[1]Inflow and Out'!$D$11</c:f>
              <c:strCache>
                <c:ptCount val="1"/>
                <c:pt idx="0">
                  <c:v>Income Tax Receipts</c:v>
                </c:pt>
              </c:strCache>
            </c:strRef>
          </c:tx>
          <c:invertIfNegative val="0"/>
          <c:cat>
            <c:strRef>
              <c:f>'[1]Inflow and Out'!$E$10:$H$10</c:f>
              <c:strCache>
                <c:ptCount val="3"/>
                <c:pt idx="0">
                  <c:v>2015/16</c:v>
                </c:pt>
                <c:pt idx="1">
                  <c:v>2016/17</c:v>
                </c:pt>
                <c:pt idx="2">
                  <c:v>2017/18</c:v>
                </c:pt>
              </c:strCache>
            </c:strRef>
          </c:cat>
          <c:val>
            <c:numRef>
              <c:f>'[1]Inflow and Out'!$E$11:$H$11</c:f>
              <c:numCache>
                <c:formatCode>#,##0</c:formatCode>
                <c:ptCount val="3"/>
                <c:pt idx="0">
                  <c:v>505250</c:v>
                </c:pt>
                <c:pt idx="1">
                  <c:v>453327</c:v>
                </c:pt>
                <c:pt idx="2">
                  <c:v>362621</c:v>
                </c:pt>
              </c:numCache>
            </c:numRef>
          </c:val>
          <c:extLst>
            <c:ext xmlns:c16="http://schemas.microsoft.com/office/drawing/2014/chart" uri="{C3380CC4-5D6E-409C-BE32-E72D297353CC}">
              <c16:uniqueId val="{00000000-0384-4BFB-865C-1C22006020D3}"/>
            </c:ext>
          </c:extLst>
        </c:ser>
        <c:ser>
          <c:idx val="1"/>
          <c:order val="1"/>
          <c:tx>
            <c:strRef>
              <c:f>'[1]Inflow and Out'!$D$12</c:f>
              <c:strCache>
                <c:ptCount val="1"/>
                <c:pt idx="0">
                  <c:v>Dividends received by GoL</c:v>
                </c:pt>
              </c:strCache>
            </c:strRef>
          </c:tx>
          <c:invertIfNegative val="0"/>
          <c:cat>
            <c:strRef>
              <c:f>'[1]Inflow and Out'!$E$10:$H$10</c:f>
              <c:strCache>
                <c:ptCount val="3"/>
                <c:pt idx="0">
                  <c:v>2015/16</c:v>
                </c:pt>
                <c:pt idx="1">
                  <c:v>2016/17</c:v>
                </c:pt>
                <c:pt idx="2">
                  <c:v>2017/18</c:v>
                </c:pt>
              </c:strCache>
            </c:strRef>
          </c:cat>
          <c:val>
            <c:numRef>
              <c:f>'[1]Inflow and Out'!$E$12:$H$12</c:f>
              <c:numCache>
                <c:formatCode>#,##0</c:formatCode>
                <c:ptCount val="3"/>
                <c:pt idx="0">
                  <c:v>187018</c:v>
                </c:pt>
                <c:pt idx="1">
                  <c:v>252248</c:v>
                </c:pt>
                <c:pt idx="2">
                  <c:v>33353</c:v>
                </c:pt>
              </c:numCache>
            </c:numRef>
          </c:val>
          <c:extLst>
            <c:ext xmlns:c16="http://schemas.microsoft.com/office/drawing/2014/chart" uri="{C3380CC4-5D6E-409C-BE32-E72D297353CC}">
              <c16:uniqueId val="{00000001-0384-4BFB-865C-1C22006020D3}"/>
            </c:ext>
          </c:extLst>
        </c:ser>
        <c:ser>
          <c:idx val="2"/>
          <c:order val="2"/>
          <c:tx>
            <c:strRef>
              <c:f>'[1]Inflow and Out'!$D$13</c:f>
              <c:strCache>
                <c:ptCount val="1"/>
                <c:pt idx="0">
                  <c:v>Subventions &amp; Grants Paid</c:v>
                </c:pt>
              </c:strCache>
            </c:strRef>
          </c:tx>
          <c:invertIfNegative val="0"/>
          <c:cat>
            <c:strRef>
              <c:f>'[1]Inflow and Out'!$E$10:$H$10</c:f>
              <c:strCache>
                <c:ptCount val="3"/>
                <c:pt idx="0">
                  <c:v>2015/16</c:v>
                </c:pt>
                <c:pt idx="1">
                  <c:v>2016/17</c:v>
                </c:pt>
                <c:pt idx="2">
                  <c:v>2017/18</c:v>
                </c:pt>
              </c:strCache>
            </c:strRef>
          </c:cat>
          <c:val>
            <c:numRef>
              <c:f>'[1]Inflow and Out'!$E$13:$H$13</c:f>
              <c:numCache>
                <c:formatCode>#,##0</c:formatCode>
                <c:ptCount val="3"/>
                <c:pt idx="0">
                  <c:v>223970</c:v>
                </c:pt>
                <c:pt idx="1">
                  <c:v>471785</c:v>
                </c:pt>
                <c:pt idx="2">
                  <c:v>263807</c:v>
                </c:pt>
              </c:numCache>
            </c:numRef>
          </c:val>
          <c:extLst>
            <c:ext xmlns:c16="http://schemas.microsoft.com/office/drawing/2014/chart" uri="{C3380CC4-5D6E-409C-BE32-E72D297353CC}">
              <c16:uniqueId val="{00000002-0384-4BFB-865C-1C22006020D3}"/>
            </c:ext>
          </c:extLst>
        </c:ser>
        <c:dLbls>
          <c:showLegendKey val="0"/>
          <c:showVal val="0"/>
          <c:showCatName val="0"/>
          <c:showSerName val="0"/>
          <c:showPercent val="0"/>
          <c:showBubbleSize val="0"/>
        </c:dLbls>
        <c:gapWidth val="150"/>
        <c:axId val="2120562104"/>
        <c:axId val="2120565112"/>
      </c:barChart>
      <c:catAx>
        <c:axId val="2120562104"/>
        <c:scaling>
          <c:orientation val="minMax"/>
        </c:scaling>
        <c:delete val="0"/>
        <c:axPos val="b"/>
        <c:numFmt formatCode="General" sourceLinked="0"/>
        <c:majorTickMark val="out"/>
        <c:minorTickMark val="none"/>
        <c:tickLblPos val="nextTo"/>
        <c:txPr>
          <a:bodyPr/>
          <a:lstStyle/>
          <a:p>
            <a:pPr>
              <a:defRPr sz="900"/>
            </a:pPr>
            <a:endParaRPr lang="en-US"/>
          </a:p>
        </c:txPr>
        <c:crossAx val="2120565112"/>
        <c:crosses val="autoZero"/>
        <c:auto val="1"/>
        <c:lblAlgn val="ctr"/>
        <c:lblOffset val="100"/>
        <c:noMultiLvlLbl val="0"/>
      </c:catAx>
      <c:valAx>
        <c:axId val="2120565112"/>
        <c:scaling>
          <c:orientation val="minMax"/>
        </c:scaling>
        <c:delete val="0"/>
        <c:axPos val="l"/>
        <c:majorGridlines/>
        <c:numFmt formatCode="#,##0" sourceLinked="1"/>
        <c:majorTickMark val="out"/>
        <c:minorTickMark val="none"/>
        <c:tickLblPos val="nextTo"/>
        <c:txPr>
          <a:bodyPr/>
          <a:lstStyle/>
          <a:p>
            <a:pPr>
              <a:defRPr sz="900"/>
            </a:pPr>
            <a:endParaRPr lang="en-US"/>
          </a:p>
        </c:txPr>
        <c:crossAx val="2120562104"/>
        <c:crosses val="autoZero"/>
        <c:crossBetween val="between"/>
      </c:val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900"/>
            </a:pPr>
            <a:r>
              <a:rPr lang="en-US" sz="900"/>
              <a:t>LEC Returns</a:t>
            </a:r>
            <a:r>
              <a:rPr lang="en-US" sz="900" baseline="0"/>
              <a:t> </a:t>
            </a:r>
            <a:r>
              <a:rPr lang="en-US" sz="900"/>
              <a:t>2014/15 to 2017/18</a:t>
            </a:r>
          </a:p>
        </c:rich>
      </c:tx>
      <c:layout>
        <c:manualLayout>
          <c:xMode val="edge"/>
          <c:yMode val="edge"/>
          <c:x val="0.23905002681673701"/>
          <c:y val="3.2031549948472002E-2"/>
        </c:manualLayout>
      </c:layout>
      <c:overlay val="1"/>
    </c:title>
    <c:autoTitleDeleted val="0"/>
    <c:plotArea>
      <c:layout/>
      <c:barChart>
        <c:barDir val="col"/>
        <c:grouping val="clustered"/>
        <c:varyColors val="0"/>
        <c:ser>
          <c:idx val="0"/>
          <c:order val="0"/>
          <c:tx>
            <c:strRef>
              <c:f>LEC!$B$50</c:f>
              <c:strCache>
                <c:ptCount val="1"/>
                <c:pt idx="0">
                  <c:v>Total Revenue</c:v>
                </c:pt>
              </c:strCache>
            </c:strRef>
          </c:tx>
          <c:invertIfNegative val="0"/>
          <c:cat>
            <c:strRef>
              <c:f>LEC!$C$49:$F$49</c:f>
              <c:strCache>
                <c:ptCount val="4"/>
                <c:pt idx="0">
                  <c:v>2014/15</c:v>
                </c:pt>
                <c:pt idx="1">
                  <c:v>2015/16</c:v>
                </c:pt>
                <c:pt idx="2">
                  <c:v>2016/17</c:v>
                </c:pt>
                <c:pt idx="3">
                  <c:v>2017/18</c:v>
                </c:pt>
              </c:strCache>
            </c:strRef>
          </c:cat>
          <c:val>
            <c:numRef>
              <c:f>LEC!$C$50:$F$50</c:f>
              <c:numCache>
                <c:formatCode>#,##0</c:formatCode>
                <c:ptCount val="4"/>
                <c:pt idx="0">
                  <c:v>703669</c:v>
                </c:pt>
                <c:pt idx="1">
                  <c:v>741779</c:v>
                </c:pt>
                <c:pt idx="2">
                  <c:v>914994</c:v>
                </c:pt>
                <c:pt idx="3">
                  <c:v>982580</c:v>
                </c:pt>
              </c:numCache>
            </c:numRef>
          </c:val>
          <c:extLst>
            <c:ext xmlns:c16="http://schemas.microsoft.com/office/drawing/2014/chart" uri="{C3380CC4-5D6E-409C-BE32-E72D297353CC}">
              <c16:uniqueId val="{00000000-5B43-425C-A301-928B27EC29FE}"/>
            </c:ext>
          </c:extLst>
        </c:ser>
        <c:dLbls>
          <c:showLegendKey val="0"/>
          <c:showVal val="0"/>
          <c:showCatName val="0"/>
          <c:showSerName val="0"/>
          <c:showPercent val="0"/>
          <c:showBubbleSize val="0"/>
        </c:dLbls>
        <c:gapWidth val="150"/>
        <c:axId val="2120632888"/>
        <c:axId val="2120629880"/>
      </c:barChart>
      <c:lineChart>
        <c:grouping val="standard"/>
        <c:varyColors val="0"/>
        <c:ser>
          <c:idx val="1"/>
          <c:order val="1"/>
          <c:tx>
            <c:strRef>
              <c:f>LEC!$B$51</c:f>
              <c:strCache>
                <c:ptCount val="1"/>
                <c:pt idx="0">
                  <c:v>EBITDA %</c:v>
                </c:pt>
              </c:strCache>
            </c:strRef>
          </c:tx>
          <c:marker>
            <c:symbol val="none"/>
          </c:marker>
          <c:cat>
            <c:strRef>
              <c:f>LEC!$C$49:$F$49</c:f>
              <c:strCache>
                <c:ptCount val="4"/>
                <c:pt idx="0">
                  <c:v>2014/15</c:v>
                </c:pt>
                <c:pt idx="1">
                  <c:v>2015/16</c:v>
                </c:pt>
                <c:pt idx="2">
                  <c:v>2016/17</c:v>
                </c:pt>
                <c:pt idx="3">
                  <c:v>2017/18</c:v>
                </c:pt>
              </c:strCache>
            </c:strRef>
          </c:cat>
          <c:val>
            <c:numRef>
              <c:f>LEC!$C$51:$F$51</c:f>
              <c:numCache>
                <c:formatCode>0%</c:formatCode>
                <c:ptCount val="4"/>
                <c:pt idx="0">
                  <c:v>0.27</c:v>
                </c:pt>
                <c:pt idx="1">
                  <c:v>0.21</c:v>
                </c:pt>
                <c:pt idx="2">
                  <c:v>0.25</c:v>
                </c:pt>
                <c:pt idx="3">
                  <c:v>0.24</c:v>
                </c:pt>
              </c:numCache>
            </c:numRef>
          </c:val>
          <c:smooth val="0"/>
          <c:extLst>
            <c:ext xmlns:c16="http://schemas.microsoft.com/office/drawing/2014/chart" uri="{C3380CC4-5D6E-409C-BE32-E72D297353CC}">
              <c16:uniqueId val="{00000001-5B43-425C-A301-928B27EC29FE}"/>
            </c:ext>
          </c:extLst>
        </c:ser>
        <c:ser>
          <c:idx val="2"/>
          <c:order val="2"/>
          <c:tx>
            <c:strRef>
              <c:f>LEC!$B$52</c:f>
              <c:strCache>
                <c:ptCount val="1"/>
                <c:pt idx="0">
                  <c:v>NOPAT%</c:v>
                </c:pt>
              </c:strCache>
            </c:strRef>
          </c:tx>
          <c:marker>
            <c:symbol val="none"/>
          </c:marker>
          <c:cat>
            <c:strRef>
              <c:f>LEC!$C$49:$F$49</c:f>
              <c:strCache>
                <c:ptCount val="4"/>
                <c:pt idx="0">
                  <c:v>2014/15</c:v>
                </c:pt>
                <c:pt idx="1">
                  <c:v>2015/16</c:v>
                </c:pt>
                <c:pt idx="2">
                  <c:v>2016/17</c:v>
                </c:pt>
                <c:pt idx="3">
                  <c:v>2017/18</c:v>
                </c:pt>
              </c:strCache>
            </c:strRef>
          </c:cat>
          <c:val>
            <c:numRef>
              <c:f>LEC!$C$52:$F$52</c:f>
              <c:numCache>
                <c:formatCode>0.00%</c:formatCode>
                <c:ptCount val="4"/>
                <c:pt idx="0">
                  <c:v>0.107</c:v>
                </c:pt>
                <c:pt idx="1">
                  <c:v>7.5999999999999998E-2</c:v>
                </c:pt>
                <c:pt idx="2">
                  <c:v>0.10299999999999999</c:v>
                </c:pt>
                <c:pt idx="3">
                  <c:v>9.7000000000000003E-2</c:v>
                </c:pt>
              </c:numCache>
            </c:numRef>
          </c:val>
          <c:smooth val="0"/>
          <c:extLst>
            <c:ext xmlns:c16="http://schemas.microsoft.com/office/drawing/2014/chart" uri="{C3380CC4-5D6E-409C-BE32-E72D297353CC}">
              <c16:uniqueId val="{00000002-5B43-425C-A301-928B27EC29FE}"/>
            </c:ext>
          </c:extLst>
        </c:ser>
        <c:ser>
          <c:idx val="3"/>
          <c:order val="3"/>
          <c:tx>
            <c:strRef>
              <c:f>LEC!$B$53</c:f>
              <c:strCache>
                <c:ptCount val="1"/>
                <c:pt idx="0">
                  <c:v>ROE</c:v>
                </c:pt>
              </c:strCache>
            </c:strRef>
          </c:tx>
          <c:marker>
            <c:symbol val="none"/>
          </c:marker>
          <c:cat>
            <c:strRef>
              <c:f>LEC!$C$49:$F$49</c:f>
              <c:strCache>
                <c:ptCount val="4"/>
                <c:pt idx="0">
                  <c:v>2014/15</c:v>
                </c:pt>
                <c:pt idx="1">
                  <c:v>2015/16</c:v>
                </c:pt>
                <c:pt idx="2">
                  <c:v>2016/17</c:v>
                </c:pt>
                <c:pt idx="3">
                  <c:v>2017/18</c:v>
                </c:pt>
              </c:strCache>
            </c:strRef>
          </c:cat>
          <c:val>
            <c:numRef>
              <c:f>LEC!$C$53:$F$53</c:f>
              <c:numCache>
                <c:formatCode>0.00%</c:formatCode>
                <c:ptCount val="4"/>
                <c:pt idx="0">
                  <c:v>0.03</c:v>
                </c:pt>
                <c:pt idx="1">
                  <c:v>2.1000000000000001E-2</c:v>
                </c:pt>
                <c:pt idx="2">
                  <c:v>0.04</c:v>
                </c:pt>
                <c:pt idx="3">
                  <c:v>3.9E-2</c:v>
                </c:pt>
              </c:numCache>
            </c:numRef>
          </c:val>
          <c:smooth val="0"/>
          <c:extLst>
            <c:ext xmlns:c16="http://schemas.microsoft.com/office/drawing/2014/chart" uri="{C3380CC4-5D6E-409C-BE32-E72D297353CC}">
              <c16:uniqueId val="{00000003-5B43-425C-A301-928B27EC29FE}"/>
            </c:ext>
          </c:extLst>
        </c:ser>
        <c:ser>
          <c:idx val="4"/>
          <c:order val="4"/>
          <c:tx>
            <c:strRef>
              <c:f>LEC!$B$54</c:f>
              <c:strCache>
                <c:ptCount val="1"/>
                <c:pt idx="0">
                  <c:v>ROA</c:v>
                </c:pt>
              </c:strCache>
            </c:strRef>
          </c:tx>
          <c:marker>
            <c:symbol val="none"/>
          </c:marker>
          <c:cat>
            <c:strRef>
              <c:f>LEC!$C$49:$F$49</c:f>
              <c:strCache>
                <c:ptCount val="4"/>
                <c:pt idx="0">
                  <c:v>2014/15</c:v>
                </c:pt>
                <c:pt idx="1">
                  <c:v>2015/16</c:v>
                </c:pt>
                <c:pt idx="2">
                  <c:v>2016/17</c:v>
                </c:pt>
                <c:pt idx="3">
                  <c:v>2017/18</c:v>
                </c:pt>
              </c:strCache>
            </c:strRef>
          </c:cat>
          <c:val>
            <c:numRef>
              <c:f>LEC!$C$54:$F$54</c:f>
              <c:numCache>
                <c:formatCode>0.00%</c:formatCode>
                <c:ptCount val="4"/>
                <c:pt idx="0">
                  <c:v>2.7E-2</c:v>
                </c:pt>
                <c:pt idx="1">
                  <c:v>1.9E-2</c:v>
                </c:pt>
                <c:pt idx="2">
                  <c:v>2.8000000000000001E-2</c:v>
                </c:pt>
                <c:pt idx="3">
                  <c:v>2.5999999999999999E-2</c:v>
                </c:pt>
              </c:numCache>
            </c:numRef>
          </c:val>
          <c:smooth val="0"/>
          <c:extLst>
            <c:ext xmlns:c16="http://schemas.microsoft.com/office/drawing/2014/chart" uri="{C3380CC4-5D6E-409C-BE32-E72D297353CC}">
              <c16:uniqueId val="{00000004-5B43-425C-A301-928B27EC29FE}"/>
            </c:ext>
          </c:extLst>
        </c:ser>
        <c:dLbls>
          <c:showLegendKey val="0"/>
          <c:showVal val="0"/>
          <c:showCatName val="0"/>
          <c:showSerName val="0"/>
          <c:showPercent val="0"/>
          <c:showBubbleSize val="0"/>
        </c:dLbls>
        <c:marker val="1"/>
        <c:smooth val="0"/>
        <c:axId val="2120623720"/>
        <c:axId val="2120626776"/>
      </c:lineChart>
      <c:catAx>
        <c:axId val="2120623720"/>
        <c:scaling>
          <c:orientation val="minMax"/>
        </c:scaling>
        <c:delete val="0"/>
        <c:axPos val="b"/>
        <c:numFmt formatCode="General" sourceLinked="0"/>
        <c:majorTickMark val="out"/>
        <c:minorTickMark val="none"/>
        <c:tickLblPos val="nextTo"/>
        <c:crossAx val="2120626776"/>
        <c:crosses val="autoZero"/>
        <c:auto val="1"/>
        <c:lblAlgn val="ctr"/>
        <c:lblOffset val="100"/>
        <c:noMultiLvlLbl val="0"/>
      </c:catAx>
      <c:valAx>
        <c:axId val="2120626776"/>
        <c:scaling>
          <c:orientation val="minMax"/>
        </c:scaling>
        <c:delete val="0"/>
        <c:axPos val="l"/>
        <c:majorGridlines/>
        <c:numFmt formatCode="0%" sourceLinked="1"/>
        <c:majorTickMark val="out"/>
        <c:minorTickMark val="none"/>
        <c:tickLblPos val="nextTo"/>
        <c:crossAx val="2120623720"/>
        <c:crosses val="autoZero"/>
        <c:crossBetween val="between"/>
      </c:valAx>
      <c:valAx>
        <c:axId val="2120629880"/>
        <c:scaling>
          <c:orientation val="minMax"/>
        </c:scaling>
        <c:delete val="0"/>
        <c:axPos val="r"/>
        <c:numFmt formatCode="#,##0" sourceLinked="1"/>
        <c:majorTickMark val="out"/>
        <c:minorTickMark val="none"/>
        <c:tickLblPos val="nextTo"/>
        <c:crossAx val="2120632888"/>
        <c:crosses val="max"/>
        <c:crossBetween val="between"/>
      </c:valAx>
      <c:catAx>
        <c:axId val="2120632888"/>
        <c:scaling>
          <c:orientation val="minMax"/>
        </c:scaling>
        <c:delete val="1"/>
        <c:axPos val="b"/>
        <c:numFmt formatCode="General" sourceLinked="1"/>
        <c:majorTickMark val="out"/>
        <c:minorTickMark val="none"/>
        <c:tickLblPos val="nextTo"/>
        <c:crossAx val="2120629880"/>
        <c:crosses val="autoZero"/>
        <c:auto val="1"/>
        <c:lblAlgn val="ctr"/>
        <c:lblOffset val="100"/>
        <c:noMultiLvlLbl val="0"/>
      </c:cat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txPr>
    <a:bodyPr/>
    <a:lstStyle/>
    <a:p>
      <a:pPr>
        <a:defRPr sz="900"/>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Year on</a:t>
            </a:r>
            <a:r>
              <a:rPr lang="en-US" sz="1000" baseline="0"/>
              <a:t> Year % Change in Revenue and NOPAT </a:t>
            </a:r>
            <a:endParaRPr lang="en-US" sz="1000"/>
          </a:p>
        </c:rich>
      </c:tx>
      <c:overlay val="1"/>
    </c:title>
    <c:autoTitleDeleted val="0"/>
    <c:plotArea>
      <c:layout/>
      <c:barChart>
        <c:barDir val="col"/>
        <c:grouping val="clustered"/>
        <c:varyColors val="0"/>
        <c:ser>
          <c:idx val="1"/>
          <c:order val="1"/>
          <c:tx>
            <c:strRef>
              <c:f>LEC!$B$42</c:f>
              <c:strCache>
                <c:ptCount val="1"/>
                <c:pt idx="0">
                  <c:v>% Change in NOPAT</c:v>
                </c:pt>
              </c:strCache>
            </c:strRef>
          </c:tx>
          <c:invertIfNegative val="0"/>
          <c:cat>
            <c:strRef>
              <c:f>LEC!$C$40:$F$40</c:f>
              <c:strCache>
                <c:ptCount val="4"/>
                <c:pt idx="0">
                  <c:v>2014/15</c:v>
                </c:pt>
                <c:pt idx="1">
                  <c:v>2015/16</c:v>
                </c:pt>
                <c:pt idx="2">
                  <c:v>2016/17</c:v>
                </c:pt>
                <c:pt idx="3">
                  <c:v>2017/18</c:v>
                </c:pt>
              </c:strCache>
            </c:strRef>
          </c:cat>
          <c:val>
            <c:numRef>
              <c:f>LEC!$C$42:$F$42</c:f>
              <c:numCache>
                <c:formatCode>0.00</c:formatCode>
                <c:ptCount val="4"/>
                <c:pt idx="0">
                  <c:v>47.571336497334038</c:v>
                </c:pt>
                <c:pt idx="1">
                  <c:v>-25.373884962545329</c:v>
                </c:pt>
                <c:pt idx="2">
                  <c:v>66.83219238818117</c:v>
                </c:pt>
                <c:pt idx="3">
                  <c:v>1.1193791857127671</c:v>
                </c:pt>
              </c:numCache>
            </c:numRef>
          </c:val>
          <c:extLst>
            <c:ext xmlns:c16="http://schemas.microsoft.com/office/drawing/2014/chart" uri="{C3380CC4-5D6E-409C-BE32-E72D297353CC}">
              <c16:uniqueId val="{00000000-85A2-4FAA-943B-CCFD84008E79}"/>
            </c:ext>
          </c:extLst>
        </c:ser>
        <c:dLbls>
          <c:showLegendKey val="0"/>
          <c:showVal val="0"/>
          <c:showCatName val="0"/>
          <c:showSerName val="0"/>
          <c:showPercent val="0"/>
          <c:showBubbleSize val="0"/>
        </c:dLbls>
        <c:gapWidth val="150"/>
        <c:axId val="2120656184"/>
        <c:axId val="2120659192"/>
      </c:barChart>
      <c:lineChart>
        <c:grouping val="standard"/>
        <c:varyColors val="0"/>
        <c:ser>
          <c:idx val="0"/>
          <c:order val="0"/>
          <c:tx>
            <c:strRef>
              <c:f>LEC!$B$41</c:f>
              <c:strCache>
                <c:ptCount val="1"/>
                <c:pt idx="0">
                  <c:v>% Change in Rev</c:v>
                </c:pt>
              </c:strCache>
            </c:strRef>
          </c:tx>
          <c:marker>
            <c:symbol val="none"/>
          </c:marker>
          <c:cat>
            <c:strRef>
              <c:f>LEC!$C$40:$F$40</c:f>
              <c:strCache>
                <c:ptCount val="4"/>
                <c:pt idx="0">
                  <c:v>2014/15</c:v>
                </c:pt>
                <c:pt idx="1">
                  <c:v>2015/16</c:v>
                </c:pt>
                <c:pt idx="2">
                  <c:v>2016/17</c:v>
                </c:pt>
                <c:pt idx="3">
                  <c:v>2017/18</c:v>
                </c:pt>
              </c:strCache>
            </c:strRef>
          </c:cat>
          <c:val>
            <c:numRef>
              <c:f>LEC!$C$41:$F$41</c:f>
              <c:numCache>
                <c:formatCode>0.00</c:formatCode>
                <c:ptCount val="4"/>
                <c:pt idx="0">
                  <c:v>18.15507424267102</c:v>
                </c:pt>
                <c:pt idx="1">
                  <c:v>5.4158986682658936</c:v>
                </c:pt>
                <c:pt idx="2">
                  <c:v>23.351294657842839</c:v>
                </c:pt>
                <c:pt idx="3">
                  <c:v>7.3864965234744702</c:v>
                </c:pt>
              </c:numCache>
            </c:numRef>
          </c:val>
          <c:smooth val="0"/>
          <c:extLst>
            <c:ext xmlns:c16="http://schemas.microsoft.com/office/drawing/2014/chart" uri="{C3380CC4-5D6E-409C-BE32-E72D297353CC}">
              <c16:uniqueId val="{00000001-85A2-4FAA-943B-CCFD84008E79}"/>
            </c:ext>
          </c:extLst>
        </c:ser>
        <c:dLbls>
          <c:showLegendKey val="0"/>
          <c:showVal val="0"/>
          <c:showCatName val="0"/>
          <c:showSerName val="0"/>
          <c:showPercent val="0"/>
          <c:showBubbleSize val="0"/>
        </c:dLbls>
        <c:marker val="1"/>
        <c:smooth val="0"/>
        <c:axId val="2120656184"/>
        <c:axId val="2120659192"/>
      </c:lineChart>
      <c:catAx>
        <c:axId val="2120656184"/>
        <c:scaling>
          <c:orientation val="minMax"/>
        </c:scaling>
        <c:delete val="0"/>
        <c:axPos val="b"/>
        <c:numFmt formatCode="General" sourceLinked="0"/>
        <c:majorTickMark val="out"/>
        <c:minorTickMark val="none"/>
        <c:tickLblPos val="nextTo"/>
        <c:txPr>
          <a:bodyPr/>
          <a:lstStyle/>
          <a:p>
            <a:pPr>
              <a:defRPr sz="900" b="1"/>
            </a:pPr>
            <a:endParaRPr lang="en-US"/>
          </a:p>
        </c:txPr>
        <c:crossAx val="2120659192"/>
        <c:crosses val="autoZero"/>
        <c:auto val="1"/>
        <c:lblAlgn val="ctr"/>
        <c:lblOffset val="100"/>
        <c:noMultiLvlLbl val="0"/>
      </c:catAx>
      <c:valAx>
        <c:axId val="2120659192"/>
        <c:scaling>
          <c:orientation val="minMax"/>
        </c:scaling>
        <c:delete val="0"/>
        <c:axPos val="l"/>
        <c:majorGridlines/>
        <c:numFmt formatCode="0.00" sourceLinked="1"/>
        <c:majorTickMark val="out"/>
        <c:minorTickMark val="none"/>
        <c:tickLblPos val="nextTo"/>
        <c:txPr>
          <a:bodyPr/>
          <a:lstStyle/>
          <a:p>
            <a:pPr>
              <a:defRPr sz="900"/>
            </a:pPr>
            <a:endParaRPr lang="en-US"/>
          </a:p>
        </c:txPr>
        <c:crossAx val="2120656184"/>
        <c:crosses val="autoZero"/>
        <c:crossBetween val="between"/>
      </c:val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100"/>
            </a:pPr>
            <a:r>
              <a:rPr lang="en-US" sz="1100"/>
              <a:t>LEC Equity v Assets</a:t>
            </a:r>
          </a:p>
        </c:rich>
      </c:tx>
      <c:overlay val="1"/>
    </c:title>
    <c:autoTitleDeleted val="0"/>
    <c:plotArea>
      <c:layout/>
      <c:barChart>
        <c:barDir val="col"/>
        <c:grouping val="clustered"/>
        <c:varyColors val="0"/>
        <c:ser>
          <c:idx val="0"/>
          <c:order val="0"/>
          <c:tx>
            <c:strRef>
              <c:f>LEC!$B$71</c:f>
              <c:strCache>
                <c:ptCount val="1"/>
                <c:pt idx="0">
                  <c:v>Total Assets</c:v>
                </c:pt>
              </c:strCache>
            </c:strRef>
          </c:tx>
          <c:invertIfNegative val="0"/>
          <c:cat>
            <c:strRef>
              <c:f>LEC!$C$70:$F$70</c:f>
              <c:strCache>
                <c:ptCount val="4"/>
                <c:pt idx="0">
                  <c:v>2014/15</c:v>
                </c:pt>
                <c:pt idx="1">
                  <c:v>2015/16</c:v>
                </c:pt>
                <c:pt idx="2">
                  <c:v>2016/17</c:v>
                </c:pt>
                <c:pt idx="3">
                  <c:v>2017/18</c:v>
                </c:pt>
              </c:strCache>
            </c:strRef>
          </c:cat>
          <c:val>
            <c:numRef>
              <c:f>LEC!$C$71:$F$71</c:f>
              <c:numCache>
                <c:formatCode>#,##0</c:formatCode>
                <c:ptCount val="4"/>
                <c:pt idx="0">
                  <c:v>2837590</c:v>
                </c:pt>
                <c:pt idx="1">
                  <c:v>2966129</c:v>
                </c:pt>
                <c:pt idx="2">
                  <c:v>3340432</c:v>
                </c:pt>
                <c:pt idx="3">
                  <c:v>3674851</c:v>
                </c:pt>
              </c:numCache>
            </c:numRef>
          </c:val>
          <c:extLst>
            <c:ext xmlns:c16="http://schemas.microsoft.com/office/drawing/2014/chart" uri="{C3380CC4-5D6E-409C-BE32-E72D297353CC}">
              <c16:uniqueId val="{00000000-7315-452F-B368-4ABEBFF09226}"/>
            </c:ext>
          </c:extLst>
        </c:ser>
        <c:ser>
          <c:idx val="1"/>
          <c:order val="1"/>
          <c:tx>
            <c:strRef>
              <c:f>LEC!$B$72</c:f>
              <c:strCache>
                <c:ptCount val="1"/>
                <c:pt idx="0">
                  <c:v>Shareholders' Funds</c:v>
                </c:pt>
              </c:strCache>
            </c:strRef>
          </c:tx>
          <c:invertIfNegative val="0"/>
          <c:cat>
            <c:strRef>
              <c:f>LEC!$C$70:$F$70</c:f>
              <c:strCache>
                <c:ptCount val="4"/>
                <c:pt idx="0">
                  <c:v>2014/15</c:v>
                </c:pt>
                <c:pt idx="1">
                  <c:v>2015/16</c:v>
                </c:pt>
                <c:pt idx="2">
                  <c:v>2016/17</c:v>
                </c:pt>
                <c:pt idx="3">
                  <c:v>2017/18</c:v>
                </c:pt>
              </c:strCache>
            </c:strRef>
          </c:cat>
          <c:val>
            <c:numRef>
              <c:f>LEC!$C$72:$F$72</c:f>
              <c:numCache>
                <c:formatCode>#,##0</c:formatCode>
                <c:ptCount val="4"/>
                <c:pt idx="0">
                  <c:v>2545431</c:v>
                </c:pt>
                <c:pt idx="1">
                  <c:v>2708063</c:v>
                </c:pt>
                <c:pt idx="2">
                  <c:v>2335942</c:v>
                </c:pt>
                <c:pt idx="3">
                  <c:v>2420816</c:v>
                </c:pt>
              </c:numCache>
            </c:numRef>
          </c:val>
          <c:extLst>
            <c:ext xmlns:c16="http://schemas.microsoft.com/office/drawing/2014/chart" uri="{C3380CC4-5D6E-409C-BE32-E72D297353CC}">
              <c16:uniqueId val="{00000001-7315-452F-B368-4ABEBFF09226}"/>
            </c:ext>
          </c:extLst>
        </c:ser>
        <c:dLbls>
          <c:showLegendKey val="0"/>
          <c:showVal val="0"/>
          <c:showCatName val="0"/>
          <c:showSerName val="0"/>
          <c:showPercent val="0"/>
          <c:showBubbleSize val="0"/>
        </c:dLbls>
        <c:gapWidth val="150"/>
        <c:axId val="2120695336"/>
        <c:axId val="2120698312"/>
      </c:barChart>
      <c:lineChart>
        <c:grouping val="standard"/>
        <c:varyColors val="0"/>
        <c:ser>
          <c:idx val="2"/>
          <c:order val="2"/>
          <c:tx>
            <c:strRef>
              <c:f>LEC!$B$73</c:f>
              <c:strCache>
                <c:ptCount val="1"/>
                <c:pt idx="0">
                  <c:v>Equity as % of TA</c:v>
                </c:pt>
              </c:strCache>
            </c:strRef>
          </c:tx>
          <c:marker>
            <c:symbol val="none"/>
          </c:marker>
          <c:cat>
            <c:strRef>
              <c:f>LEC!$C$70:$F$70</c:f>
              <c:strCache>
                <c:ptCount val="4"/>
                <c:pt idx="0">
                  <c:v>2014/15</c:v>
                </c:pt>
                <c:pt idx="1">
                  <c:v>2015/16</c:v>
                </c:pt>
                <c:pt idx="2">
                  <c:v>2016/17</c:v>
                </c:pt>
                <c:pt idx="3">
                  <c:v>2017/18</c:v>
                </c:pt>
              </c:strCache>
            </c:strRef>
          </c:cat>
          <c:val>
            <c:numRef>
              <c:f>LEC!$C$73:$F$73</c:f>
              <c:numCache>
                <c:formatCode>#,##0.00</c:formatCode>
                <c:ptCount val="4"/>
                <c:pt idx="0">
                  <c:v>89.703974147075513</c:v>
                </c:pt>
                <c:pt idx="1">
                  <c:v>91.299569236536911</c:v>
                </c:pt>
                <c:pt idx="2">
                  <c:v>69.929338480771349</c:v>
                </c:pt>
                <c:pt idx="3">
                  <c:v>65.87521507674731</c:v>
                </c:pt>
              </c:numCache>
            </c:numRef>
          </c:val>
          <c:smooth val="0"/>
          <c:extLst>
            <c:ext xmlns:c16="http://schemas.microsoft.com/office/drawing/2014/chart" uri="{C3380CC4-5D6E-409C-BE32-E72D297353CC}">
              <c16:uniqueId val="{00000002-7315-452F-B368-4ABEBFF09226}"/>
            </c:ext>
          </c:extLst>
        </c:ser>
        <c:dLbls>
          <c:showLegendKey val="0"/>
          <c:showVal val="0"/>
          <c:showCatName val="0"/>
          <c:showSerName val="0"/>
          <c:showPercent val="0"/>
          <c:showBubbleSize val="0"/>
        </c:dLbls>
        <c:marker val="1"/>
        <c:smooth val="0"/>
        <c:axId val="2120704712"/>
        <c:axId val="2120701672"/>
      </c:lineChart>
      <c:catAx>
        <c:axId val="2120695336"/>
        <c:scaling>
          <c:orientation val="minMax"/>
        </c:scaling>
        <c:delete val="0"/>
        <c:axPos val="b"/>
        <c:numFmt formatCode="General" sourceLinked="0"/>
        <c:majorTickMark val="out"/>
        <c:minorTickMark val="none"/>
        <c:tickLblPos val="nextTo"/>
        <c:crossAx val="2120698312"/>
        <c:crosses val="autoZero"/>
        <c:auto val="1"/>
        <c:lblAlgn val="ctr"/>
        <c:lblOffset val="100"/>
        <c:noMultiLvlLbl val="0"/>
      </c:catAx>
      <c:valAx>
        <c:axId val="2120698312"/>
        <c:scaling>
          <c:orientation val="minMax"/>
        </c:scaling>
        <c:delete val="0"/>
        <c:axPos val="l"/>
        <c:majorGridlines/>
        <c:numFmt formatCode="#,##0" sourceLinked="1"/>
        <c:majorTickMark val="out"/>
        <c:minorTickMark val="none"/>
        <c:tickLblPos val="nextTo"/>
        <c:txPr>
          <a:bodyPr/>
          <a:lstStyle/>
          <a:p>
            <a:pPr>
              <a:defRPr sz="900"/>
            </a:pPr>
            <a:endParaRPr lang="en-US"/>
          </a:p>
        </c:txPr>
        <c:crossAx val="2120695336"/>
        <c:crosses val="autoZero"/>
        <c:crossBetween val="between"/>
      </c:valAx>
      <c:valAx>
        <c:axId val="2120701672"/>
        <c:scaling>
          <c:orientation val="minMax"/>
        </c:scaling>
        <c:delete val="0"/>
        <c:axPos val="r"/>
        <c:numFmt formatCode="#,##0.00" sourceLinked="1"/>
        <c:majorTickMark val="out"/>
        <c:minorTickMark val="none"/>
        <c:tickLblPos val="nextTo"/>
        <c:txPr>
          <a:bodyPr/>
          <a:lstStyle/>
          <a:p>
            <a:pPr>
              <a:defRPr sz="900"/>
            </a:pPr>
            <a:endParaRPr lang="en-US"/>
          </a:p>
        </c:txPr>
        <c:crossAx val="2120704712"/>
        <c:crosses val="max"/>
        <c:crossBetween val="between"/>
      </c:valAx>
      <c:catAx>
        <c:axId val="2120704712"/>
        <c:scaling>
          <c:orientation val="minMax"/>
        </c:scaling>
        <c:delete val="1"/>
        <c:axPos val="b"/>
        <c:numFmt formatCode="General" sourceLinked="1"/>
        <c:majorTickMark val="out"/>
        <c:minorTickMark val="none"/>
        <c:tickLblPos val="nextTo"/>
        <c:crossAx val="2120701672"/>
        <c:crosses val="autoZero"/>
        <c:auto val="1"/>
        <c:lblAlgn val="ctr"/>
        <c:lblOffset val="100"/>
        <c:noMultiLvlLbl val="0"/>
      </c:cat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Wasco</a:t>
            </a:r>
            <a:r>
              <a:rPr lang="en-US" sz="1000" baseline="0"/>
              <a:t> Returns 2014/15 to 2017/18 </a:t>
            </a:r>
            <a:endParaRPr lang="en-US" sz="1000"/>
          </a:p>
        </c:rich>
      </c:tx>
      <c:layout>
        <c:manualLayout>
          <c:xMode val="edge"/>
          <c:yMode val="edge"/>
          <c:x val="0.261339020122485"/>
          <c:y val="3.7037037037037E-2"/>
        </c:manualLayout>
      </c:layout>
      <c:overlay val="1"/>
    </c:title>
    <c:autoTitleDeleted val="0"/>
    <c:plotArea>
      <c:layout/>
      <c:barChart>
        <c:barDir val="col"/>
        <c:grouping val="clustered"/>
        <c:varyColors val="0"/>
        <c:ser>
          <c:idx val="0"/>
          <c:order val="0"/>
          <c:tx>
            <c:strRef>
              <c:f>WASCO!$D$50</c:f>
              <c:strCache>
                <c:ptCount val="1"/>
                <c:pt idx="0">
                  <c:v>Total Revenue</c:v>
                </c:pt>
              </c:strCache>
            </c:strRef>
          </c:tx>
          <c:invertIfNegative val="0"/>
          <c:cat>
            <c:strRef>
              <c:f>WASCO!$E$49:$H$49</c:f>
              <c:strCache>
                <c:ptCount val="4"/>
                <c:pt idx="0">
                  <c:v>2014/15</c:v>
                </c:pt>
                <c:pt idx="1">
                  <c:v>2015/16</c:v>
                </c:pt>
                <c:pt idx="2">
                  <c:v>2016/17</c:v>
                </c:pt>
                <c:pt idx="3">
                  <c:v>2017/18</c:v>
                </c:pt>
              </c:strCache>
            </c:strRef>
          </c:cat>
          <c:val>
            <c:numRef>
              <c:f>WASCO!$E$50:$H$50</c:f>
              <c:numCache>
                <c:formatCode>#,##0</c:formatCode>
                <c:ptCount val="4"/>
                <c:pt idx="0">
                  <c:v>198665</c:v>
                </c:pt>
                <c:pt idx="1">
                  <c:v>222837</c:v>
                </c:pt>
                <c:pt idx="2">
                  <c:v>247809</c:v>
                </c:pt>
                <c:pt idx="3">
                  <c:v>273983</c:v>
                </c:pt>
              </c:numCache>
            </c:numRef>
          </c:val>
          <c:extLst>
            <c:ext xmlns:c16="http://schemas.microsoft.com/office/drawing/2014/chart" uri="{C3380CC4-5D6E-409C-BE32-E72D297353CC}">
              <c16:uniqueId val="{00000000-F241-4AAA-9698-5288B1E3487B}"/>
            </c:ext>
          </c:extLst>
        </c:ser>
        <c:dLbls>
          <c:showLegendKey val="0"/>
          <c:showVal val="0"/>
          <c:showCatName val="0"/>
          <c:showSerName val="0"/>
          <c:showPercent val="0"/>
          <c:showBubbleSize val="0"/>
        </c:dLbls>
        <c:gapWidth val="150"/>
        <c:axId val="2119597528"/>
        <c:axId val="2119594520"/>
      </c:barChart>
      <c:lineChart>
        <c:grouping val="standard"/>
        <c:varyColors val="0"/>
        <c:ser>
          <c:idx val="1"/>
          <c:order val="1"/>
          <c:tx>
            <c:strRef>
              <c:f>WASCO!$D$51</c:f>
              <c:strCache>
                <c:ptCount val="1"/>
                <c:pt idx="0">
                  <c:v>EBITDA %</c:v>
                </c:pt>
              </c:strCache>
            </c:strRef>
          </c:tx>
          <c:marker>
            <c:symbol val="none"/>
          </c:marker>
          <c:cat>
            <c:strRef>
              <c:f>WASCO!$E$49:$H$49</c:f>
              <c:strCache>
                <c:ptCount val="4"/>
                <c:pt idx="0">
                  <c:v>2014/15</c:v>
                </c:pt>
                <c:pt idx="1">
                  <c:v>2015/16</c:v>
                </c:pt>
                <c:pt idx="2">
                  <c:v>2016/17</c:v>
                </c:pt>
                <c:pt idx="3">
                  <c:v>2017/18</c:v>
                </c:pt>
              </c:strCache>
            </c:strRef>
          </c:cat>
          <c:val>
            <c:numRef>
              <c:f>WASCO!$E$51:$H$51</c:f>
              <c:numCache>
                <c:formatCode>0%</c:formatCode>
                <c:ptCount val="4"/>
                <c:pt idx="0">
                  <c:v>7.0000000000000007E-2</c:v>
                </c:pt>
                <c:pt idx="1">
                  <c:v>0.11</c:v>
                </c:pt>
                <c:pt idx="2">
                  <c:v>0.17</c:v>
                </c:pt>
                <c:pt idx="3">
                  <c:v>0.18</c:v>
                </c:pt>
              </c:numCache>
            </c:numRef>
          </c:val>
          <c:smooth val="0"/>
          <c:extLst>
            <c:ext xmlns:c16="http://schemas.microsoft.com/office/drawing/2014/chart" uri="{C3380CC4-5D6E-409C-BE32-E72D297353CC}">
              <c16:uniqueId val="{00000001-F241-4AAA-9698-5288B1E3487B}"/>
            </c:ext>
          </c:extLst>
        </c:ser>
        <c:ser>
          <c:idx val="2"/>
          <c:order val="2"/>
          <c:tx>
            <c:strRef>
              <c:f>WASCO!$D$52</c:f>
              <c:strCache>
                <c:ptCount val="1"/>
                <c:pt idx="0">
                  <c:v>NOPAT%</c:v>
                </c:pt>
              </c:strCache>
            </c:strRef>
          </c:tx>
          <c:marker>
            <c:symbol val="none"/>
          </c:marker>
          <c:cat>
            <c:strRef>
              <c:f>WASCO!$E$49:$H$49</c:f>
              <c:strCache>
                <c:ptCount val="4"/>
                <c:pt idx="0">
                  <c:v>2014/15</c:v>
                </c:pt>
                <c:pt idx="1">
                  <c:v>2015/16</c:v>
                </c:pt>
                <c:pt idx="2">
                  <c:v>2016/17</c:v>
                </c:pt>
                <c:pt idx="3">
                  <c:v>2017/18</c:v>
                </c:pt>
              </c:strCache>
            </c:strRef>
          </c:cat>
          <c:val>
            <c:numRef>
              <c:f>WASCO!$E$52:$H$52</c:f>
              <c:numCache>
                <c:formatCode>0.00%</c:formatCode>
                <c:ptCount val="4"/>
                <c:pt idx="0">
                  <c:v>-1.6E-2</c:v>
                </c:pt>
                <c:pt idx="1">
                  <c:v>2.7E-2</c:v>
                </c:pt>
                <c:pt idx="2">
                  <c:v>6.5000000000000002E-2</c:v>
                </c:pt>
                <c:pt idx="3">
                  <c:v>6.2E-2</c:v>
                </c:pt>
              </c:numCache>
            </c:numRef>
          </c:val>
          <c:smooth val="0"/>
          <c:extLst>
            <c:ext xmlns:c16="http://schemas.microsoft.com/office/drawing/2014/chart" uri="{C3380CC4-5D6E-409C-BE32-E72D297353CC}">
              <c16:uniqueId val="{00000002-F241-4AAA-9698-5288B1E3487B}"/>
            </c:ext>
          </c:extLst>
        </c:ser>
        <c:ser>
          <c:idx val="3"/>
          <c:order val="3"/>
          <c:tx>
            <c:strRef>
              <c:f>WASCO!$D$53</c:f>
              <c:strCache>
                <c:ptCount val="1"/>
                <c:pt idx="0">
                  <c:v>ROE</c:v>
                </c:pt>
              </c:strCache>
            </c:strRef>
          </c:tx>
          <c:marker>
            <c:symbol val="none"/>
          </c:marker>
          <c:cat>
            <c:strRef>
              <c:f>WASCO!$E$49:$H$49</c:f>
              <c:strCache>
                <c:ptCount val="4"/>
                <c:pt idx="0">
                  <c:v>2014/15</c:v>
                </c:pt>
                <c:pt idx="1">
                  <c:v>2015/16</c:v>
                </c:pt>
                <c:pt idx="2">
                  <c:v>2016/17</c:v>
                </c:pt>
                <c:pt idx="3">
                  <c:v>2017/18</c:v>
                </c:pt>
              </c:strCache>
            </c:strRef>
          </c:cat>
          <c:val>
            <c:numRef>
              <c:f>WASCO!$E$53:$H$53</c:f>
              <c:numCache>
                <c:formatCode>0.00%</c:formatCode>
                <c:ptCount val="4"/>
                <c:pt idx="0">
                  <c:v>-3.0000000000000001E-3</c:v>
                </c:pt>
                <c:pt idx="1">
                  <c:v>5.0000000000000001E-3</c:v>
                </c:pt>
                <c:pt idx="2">
                  <c:v>1.2999999999999999E-2</c:v>
                </c:pt>
                <c:pt idx="3">
                  <c:v>1.2999999999999999E-2</c:v>
                </c:pt>
              </c:numCache>
            </c:numRef>
          </c:val>
          <c:smooth val="0"/>
          <c:extLst>
            <c:ext xmlns:c16="http://schemas.microsoft.com/office/drawing/2014/chart" uri="{C3380CC4-5D6E-409C-BE32-E72D297353CC}">
              <c16:uniqueId val="{00000003-F241-4AAA-9698-5288B1E3487B}"/>
            </c:ext>
          </c:extLst>
        </c:ser>
        <c:ser>
          <c:idx val="4"/>
          <c:order val="4"/>
          <c:tx>
            <c:strRef>
              <c:f>WASCO!$D$54</c:f>
              <c:strCache>
                <c:ptCount val="1"/>
                <c:pt idx="0">
                  <c:v>ROA</c:v>
                </c:pt>
              </c:strCache>
            </c:strRef>
          </c:tx>
          <c:marker>
            <c:symbol val="none"/>
          </c:marker>
          <c:cat>
            <c:strRef>
              <c:f>WASCO!$E$49:$H$49</c:f>
              <c:strCache>
                <c:ptCount val="4"/>
                <c:pt idx="0">
                  <c:v>2014/15</c:v>
                </c:pt>
                <c:pt idx="1">
                  <c:v>2015/16</c:v>
                </c:pt>
                <c:pt idx="2">
                  <c:v>2016/17</c:v>
                </c:pt>
                <c:pt idx="3">
                  <c:v>2017/18</c:v>
                </c:pt>
              </c:strCache>
            </c:strRef>
          </c:cat>
          <c:val>
            <c:numRef>
              <c:f>WASCO!$E$54:$H$54</c:f>
              <c:numCache>
                <c:formatCode>0.00%</c:formatCode>
                <c:ptCount val="4"/>
                <c:pt idx="0">
                  <c:v>-2E-3</c:v>
                </c:pt>
                <c:pt idx="1">
                  <c:v>4.0000000000000001E-3</c:v>
                </c:pt>
                <c:pt idx="2">
                  <c:v>0.01</c:v>
                </c:pt>
                <c:pt idx="3">
                  <c:v>1.0999999999999999E-2</c:v>
                </c:pt>
              </c:numCache>
            </c:numRef>
          </c:val>
          <c:smooth val="0"/>
          <c:extLst>
            <c:ext xmlns:c16="http://schemas.microsoft.com/office/drawing/2014/chart" uri="{C3380CC4-5D6E-409C-BE32-E72D297353CC}">
              <c16:uniqueId val="{00000004-F241-4AAA-9698-5288B1E3487B}"/>
            </c:ext>
          </c:extLst>
        </c:ser>
        <c:dLbls>
          <c:showLegendKey val="0"/>
          <c:showVal val="0"/>
          <c:showCatName val="0"/>
          <c:showSerName val="0"/>
          <c:showPercent val="0"/>
          <c:showBubbleSize val="0"/>
        </c:dLbls>
        <c:marker val="1"/>
        <c:smooth val="0"/>
        <c:axId val="2119588360"/>
        <c:axId val="2119591416"/>
      </c:lineChart>
      <c:catAx>
        <c:axId val="2119588360"/>
        <c:scaling>
          <c:orientation val="minMax"/>
        </c:scaling>
        <c:delete val="0"/>
        <c:axPos val="b"/>
        <c:numFmt formatCode="General" sourceLinked="0"/>
        <c:majorTickMark val="out"/>
        <c:minorTickMark val="none"/>
        <c:tickLblPos val="nextTo"/>
        <c:crossAx val="2119591416"/>
        <c:crosses val="autoZero"/>
        <c:auto val="1"/>
        <c:lblAlgn val="ctr"/>
        <c:lblOffset val="100"/>
        <c:noMultiLvlLbl val="0"/>
      </c:catAx>
      <c:valAx>
        <c:axId val="2119591416"/>
        <c:scaling>
          <c:orientation val="minMax"/>
        </c:scaling>
        <c:delete val="0"/>
        <c:axPos val="l"/>
        <c:majorGridlines/>
        <c:numFmt formatCode="0%" sourceLinked="1"/>
        <c:majorTickMark val="out"/>
        <c:minorTickMark val="none"/>
        <c:tickLblPos val="nextTo"/>
        <c:crossAx val="2119588360"/>
        <c:crosses val="autoZero"/>
        <c:crossBetween val="between"/>
      </c:valAx>
      <c:valAx>
        <c:axId val="2119594520"/>
        <c:scaling>
          <c:orientation val="minMax"/>
        </c:scaling>
        <c:delete val="0"/>
        <c:axPos val="r"/>
        <c:numFmt formatCode="#,##0" sourceLinked="1"/>
        <c:majorTickMark val="out"/>
        <c:minorTickMark val="none"/>
        <c:tickLblPos val="nextTo"/>
        <c:crossAx val="2119597528"/>
        <c:crosses val="max"/>
        <c:crossBetween val="between"/>
      </c:valAx>
      <c:catAx>
        <c:axId val="2119597528"/>
        <c:scaling>
          <c:orientation val="minMax"/>
        </c:scaling>
        <c:delete val="1"/>
        <c:axPos val="b"/>
        <c:numFmt formatCode="General" sourceLinked="1"/>
        <c:majorTickMark val="out"/>
        <c:minorTickMark val="none"/>
        <c:tickLblPos val="nextTo"/>
        <c:crossAx val="2119594520"/>
        <c:crosses val="autoZero"/>
        <c:auto val="1"/>
        <c:lblAlgn val="ctr"/>
        <c:lblOffset val="100"/>
        <c:noMultiLvlLbl val="0"/>
      </c:cat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GB" sz="1000" b="1" i="0" u="none" strike="noStrike" baseline="0">
                <a:effectLst/>
              </a:rPr>
              <a:t>LPB  Returns 2014/15 to 2017/18 </a:t>
            </a:r>
            <a:endParaRPr lang="en-US" sz="1000"/>
          </a:p>
        </c:rich>
      </c:tx>
      <c:overlay val="1"/>
    </c:title>
    <c:autoTitleDeleted val="0"/>
    <c:plotArea>
      <c:layout/>
      <c:barChart>
        <c:barDir val="col"/>
        <c:grouping val="clustered"/>
        <c:varyColors val="0"/>
        <c:ser>
          <c:idx val="0"/>
          <c:order val="0"/>
          <c:tx>
            <c:strRef>
              <c:f>LPB!$D$50</c:f>
              <c:strCache>
                <c:ptCount val="1"/>
                <c:pt idx="0">
                  <c:v>Total Revenue</c:v>
                </c:pt>
              </c:strCache>
            </c:strRef>
          </c:tx>
          <c:invertIfNegative val="0"/>
          <c:cat>
            <c:strRef>
              <c:f>LPB!$E$49:$H$49</c:f>
              <c:strCache>
                <c:ptCount val="4"/>
                <c:pt idx="0">
                  <c:v>2014/15</c:v>
                </c:pt>
                <c:pt idx="1">
                  <c:v>2015/16</c:v>
                </c:pt>
                <c:pt idx="2">
                  <c:v>2016/17</c:v>
                </c:pt>
                <c:pt idx="3">
                  <c:v>2017/18</c:v>
                </c:pt>
              </c:strCache>
            </c:strRef>
          </c:cat>
          <c:val>
            <c:numRef>
              <c:f>LPB!$E$50:$H$50</c:f>
              <c:numCache>
                <c:formatCode>#,##0</c:formatCode>
                <c:ptCount val="4"/>
                <c:pt idx="0">
                  <c:v>48609</c:v>
                </c:pt>
                <c:pt idx="1">
                  <c:v>74203</c:v>
                </c:pt>
                <c:pt idx="2">
                  <c:v>79104</c:v>
                </c:pt>
                <c:pt idx="3">
                  <c:v>166688</c:v>
                </c:pt>
              </c:numCache>
            </c:numRef>
          </c:val>
          <c:extLst>
            <c:ext xmlns:c16="http://schemas.microsoft.com/office/drawing/2014/chart" uri="{C3380CC4-5D6E-409C-BE32-E72D297353CC}">
              <c16:uniqueId val="{00000000-6D97-49AF-9AFE-CBE2EC0BA084}"/>
            </c:ext>
          </c:extLst>
        </c:ser>
        <c:dLbls>
          <c:showLegendKey val="0"/>
          <c:showVal val="0"/>
          <c:showCatName val="0"/>
          <c:showSerName val="0"/>
          <c:showPercent val="0"/>
          <c:showBubbleSize val="0"/>
        </c:dLbls>
        <c:gapWidth val="150"/>
        <c:axId val="2119976536"/>
        <c:axId val="2119487000"/>
      </c:barChart>
      <c:lineChart>
        <c:grouping val="standard"/>
        <c:varyColors val="0"/>
        <c:ser>
          <c:idx val="1"/>
          <c:order val="1"/>
          <c:tx>
            <c:strRef>
              <c:f>LPB!$D$51</c:f>
              <c:strCache>
                <c:ptCount val="1"/>
                <c:pt idx="0">
                  <c:v>EBITDA %</c:v>
                </c:pt>
              </c:strCache>
            </c:strRef>
          </c:tx>
          <c:marker>
            <c:symbol val="none"/>
          </c:marker>
          <c:cat>
            <c:strRef>
              <c:f>LPB!$E$49:$H$49</c:f>
              <c:strCache>
                <c:ptCount val="4"/>
                <c:pt idx="0">
                  <c:v>2014/15</c:v>
                </c:pt>
                <c:pt idx="1">
                  <c:v>2015/16</c:v>
                </c:pt>
                <c:pt idx="2">
                  <c:v>2016/17</c:v>
                </c:pt>
                <c:pt idx="3">
                  <c:v>2017/18</c:v>
                </c:pt>
              </c:strCache>
            </c:strRef>
          </c:cat>
          <c:val>
            <c:numRef>
              <c:f>LPB!$E$51:$H$51</c:f>
              <c:numCache>
                <c:formatCode>0%</c:formatCode>
                <c:ptCount val="4"/>
                <c:pt idx="0">
                  <c:v>0.19</c:v>
                </c:pt>
                <c:pt idx="1">
                  <c:v>0.31</c:v>
                </c:pt>
                <c:pt idx="2">
                  <c:v>0.17</c:v>
                </c:pt>
                <c:pt idx="3">
                  <c:v>0.45</c:v>
                </c:pt>
              </c:numCache>
            </c:numRef>
          </c:val>
          <c:smooth val="0"/>
          <c:extLst>
            <c:ext xmlns:c16="http://schemas.microsoft.com/office/drawing/2014/chart" uri="{C3380CC4-5D6E-409C-BE32-E72D297353CC}">
              <c16:uniqueId val="{00000001-6D97-49AF-9AFE-CBE2EC0BA084}"/>
            </c:ext>
          </c:extLst>
        </c:ser>
        <c:ser>
          <c:idx val="2"/>
          <c:order val="2"/>
          <c:tx>
            <c:strRef>
              <c:f>LPB!$D$52</c:f>
              <c:strCache>
                <c:ptCount val="1"/>
                <c:pt idx="0">
                  <c:v>NOPAT%</c:v>
                </c:pt>
              </c:strCache>
            </c:strRef>
          </c:tx>
          <c:marker>
            <c:symbol val="none"/>
          </c:marker>
          <c:cat>
            <c:strRef>
              <c:f>LPB!$E$49:$H$49</c:f>
              <c:strCache>
                <c:ptCount val="4"/>
                <c:pt idx="0">
                  <c:v>2014/15</c:v>
                </c:pt>
                <c:pt idx="1">
                  <c:v>2015/16</c:v>
                </c:pt>
                <c:pt idx="2">
                  <c:v>2016/17</c:v>
                </c:pt>
                <c:pt idx="3">
                  <c:v>2017/18</c:v>
                </c:pt>
              </c:strCache>
            </c:strRef>
          </c:cat>
          <c:val>
            <c:numRef>
              <c:f>LPB!$E$52:$H$52</c:f>
              <c:numCache>
                <c:formatCode>0.00%</c:formatCode>
                <c:ptCount val="4"/>
                <c:pt idx="0">
                  <c:v>0.08</c:v>
                </c:pt>
                <c:pt idx="1">
                  <c:v>0.193</c:v>
                </c:pt>
                <c:pt idx="2">
                  <c:v>5.3999999999999999E-2</c:v>
                </c:pt>
                <c:pt idx="3">
                  <c:v>0.247</c:v>
                </c:pt>
              </c:numCache>
            </c:numRef>
          </c:val>
          <c:smooth val="0"/>
          <c:extLst>
            <c:ext xmlns:c16="http://schemas.microsoft.com/office/drawing/2014/chart" uri="{C3380CC4-5D6E-409C-BE32-E72D297353CC}">
              <c16:uniqueId val="{00000002-6D97-49AF-9AFE-CBE2EC0BA084}"/>
            </c:ext>
          </c:extLst>
        </c:ser>
        <c:ser>
          <c:idx val="3"/>
          <c:order val="3"/>
          <c:tx>
            <c:strRef>
              <c:f>LPB!$D$53</c:f>
              <c:strCache>
                <c:ptCount val="1"/>
                <c:pt idx="0">
                  <c:v>ROE</c:v>
                </c:pt>
              </c:strCache>
            </c:strRef>
          </c:tx>
          <c:marker>
            <c:symbol val="none"/>
          </c:marker>
          <c:cat>
            <c:strRef>
              <c:f>LPB!$E$49:$H$49</c:f>
              <c:strCache>
                <c:ptCount val="4"/>
                <c:pt idx="0">
                  <c:v>2014/15</c:v>
                </c:pt>
                <c:pt idx="1">
                  <c:v>2015/16</c:v>
                </c:pt>
                <c:pt idx="2">
                  <c:v>2016/17</c:v>
                </c:pt>
                <c:pt idx="3">
                  <c:v>2017/18</c:v>
                </c:pt>
              </c:strCache>
            </c:strRef>
          </c:cat>
          <c:val>
            <c:numRef>
              <c:f>LPB!$E$53:$H$53</c:f>
              <c:numCache>
                <c:formatCode>0.00%</c:formatCode>
                <c:ptCount val="4"/>
                <c:pt idx="0">
                  <c:v>0.16200000000000001</c:v>
                </c:pt>
                <c:pt idx="1">
                  <c:v>0.15</c:v>
                </c:pt>
                <c:pt idx="2">
                  <c:v>4.1000000000000002E-2</c:v>
                </c:pt>
                <c:pt idx="3">
                  <c:v>0.27900000000000003</c:v>
                </c:pt>
              </c:numCache>
            </c:numRef>
          </c:val>
          <c:smooth val="0"/>
          <c:extLst>
            <c:ext xmlns:c16="http://schemas.microsoft.com/office/drawing/2014/chart" uri="{C3380CC4-5D6E-409C-BE32-E72D297353CC}">
              <c16:uniqueId val="{00000003-6D97-49AF-9AFE-CBE2EC0BA084}"/>
            </c:ext>
          </c:extLst>
        </c:ser>
        <c:ser>
          <c:idx val="4"/>
          <c:order val="4"/>
          <c:tx>
            <c:strRef>
              <c:f>LPB!$D$54</c:f>
              <c:strCache>
                <c:ptCount val="1"/>
                <c:pt idx="0">
                  <c:v>ROA</c:v>
                </c:pt>
              </c:strCache>
            </c:strRef>
          </c:tx>
          <c:marker>
            <c:symbol val="none"/>
          </c:marker>
          <c:cat>
            <c:strRef>
              <c:f>LPB!$E$49:$H$49</c:f>
              <c:strCache>
                <c:ptCount val="4"/>
                <c:pt idx="0">
                  <c:v>2014/15</c:v>
                </c:pt>
                <c:pt idx="1">
                  <c:v>2015/16</c:v>
                </c:pt>
                <c:pt idx="2">
                  <c:v>2016/17</c:v>
                </c:pt>
                <c:pt idx="3">
                  <c:v>2017/18</c:v>
                </c:pt>
              </c:strCache>
            </c:strRef>
          </c:cat>
          <c:val>
            <c:numRef>
              <c:f>LPB!$E$54:$H$54</c:f>
              <c:numCache>
                <c:formatCode>0.00%</c:formatCode>
                <c:ptCount val="4"/>
                <c:pt idx="0">
                  <c:v>1.0999999999999999E-2</c:v>
                </c:pt>
                <c:pt idx="1">
                  <c:v>3.2000000000000001E-2</c:v>
                </c:pt>
                <c:pt idx="2">
                  <c:v>5.0000000000000001E-3</c:v>
                </c:pt>
                <c:pt idx="3">
                  <c:v>3.1E-2</c:v>
                </c:pt>
              </c:numCache>
            </c:numRef>
          </c:val>
          <c:smooth val="0"/>
          <c:extLst>
            <c:ext xmlns:c16="http://schemas.microsoft.com/office/drawing/2014/chart" uri="{C3380CC4-5D6E-409C-BE32-E72D297353CC}">
              <c16:uniqueId val="{00000004-6D97-49AF-9AFE-CBE2EC0BA084}"/>
            </c:ext>
          </c:extLst>
        </c:ser>
        <c:dLbls>
          <c:showLegendKey val="0"/>
          <c:showVal val="0"/>
          <c:showCatName val="0"/>
          <c:showSerName val="0"/>
          <c:showPercent val="0"/>
          <c:showBubbleSize val="0"/>
        </c:dLbls>
        <c:marker val="1"/>
        <c:smooth val="0"/>
        <c:axId val="2120002088"/>
        <c:axId val="2120016200"/>
      </c:lineChart>
      <c:catAx>
        <c:axId val="2120002088"/>
        <c:scaling>
          <c:orientation val="minMax"/>
        </c:scaling>
        <c:delete val="0"/>
        <c:axPos val="b"/>
        <c:numFmt formatCode="General" sourceLinked="0"/>
        <c:majorTickMark val="out"/>
        <c:minorTickMark val="none"/>
        <c:tickLblPos val="nextTo"/>
        <c:crossAx val="2120016200"/>
        <c:crosses val="autoZero"/>
        <c:auto val="1"/>
        <c:lblAlgn val="ctr"/>
        <c:lblOffset val="100"/>
        <c:noMultiLvlLbl val="0"/>
      </c:catAx>
      <c:valAx>
        <c:axId val="2120016200"/>
        <c:scaling>
          <c:orientation val="minMax"/>
        </c:scaling>
        <c:delete val="0"/>
        <c:axPos val="l"/>
        <c:majorGridlines/>
        <c:numFmt formatCode="0%" sourceLinked="1"/>
        <c:majorTickMark val="out"/>
        <c:minorTickMark val="none"/>
        <c:tickLblPos val="nextTo"/>
        <c:txPr>
          <a:bodyPr/>
          <a:lstStyle/>
          <a:p>
            <a:pPr>
              <a:defRPr sz="900"/>
            </a:pPr>
            <a:endParaRPr lang="en-US"/>
          </a:p>
        </c:txPr>
        <c:crossAx val="2120002088"/>
        <c:crosses val="autoZero"/>
        <c:crossBetween val="between"/>
      </c:valAx>
      <c:valAx>
        <c:axId val="2119487000"/>
        <c:scaling>
          <c:orientation val="minMax"/>
        </c:scaling>
        <c:delete val="0"/>
        <c:axPos val="r"/>
        <c:numFmt formatCode="#,##0" sourceLinked="1"/>
        <c:majorTickMark val="out"/>
        <c:minorTickMark val="none"/>
        <c:tickLblPos val="nextTo"/>
        <c:txPr>
          <a:bodyPr/>
          <a:lstStyle/>
          <a:p>
            <a:pPr>
              <a:defRPr sz="900"/>
            </a:pPr>
            <a:endParaRPr lang="en-US"/>
          </a:p>
        </c:txPr>
        <c:crossAx val="2119976536"/>
        <c:crosses val="max"/>
        <c:crossBetween val="between"/>
      </c:valAx>
      <c:catAx>
        <c:axId val="2119976536"/>
        <c:scaling>
          <c:orientation val="minMax"/>
        </c:scaling>
        <c:delete val="1"/>
        <c:axPos val="b"/>
        <c:numFmt formatCode="General" sourceLinked="1"/>
        <c:majorTickMark val="out"/>
        <c:minorTickMark val="none"/>
        <c:tickLblPos val="nextTo"/>
        <c:crossAx val="2119487000"/>
        <c:crosses val="autoZero"/>
        <c:auto val="1"/>
        <c:lblAlgn val="ctr"/>
        <c:lblOffset val="100"/>
        <c:noMultiLvlLbl val="0"/>
      </c:cat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LNDC </a:t>
            </a:r>
            <a:r>
              <a:rPr lang="en-US" sz="1000" baseline="0"/>
              <a:t> Returns 2014/15 to 2017/18</a:t>
            </a:r>
            <a:endParaRPr lang="en-US" sz="1000"/>
          </a:p>
        </c:rich>
      </c:tx>
      <c:overlay val="0"/>
    </c:title>
    <c:autoTitleDeleted val="0"/>
    <c:plotArea>
      <c:layout/>
      <c:barChart>
        <c:barDir val="col"/>
        <c:grouping val="clustered"/>
        <c:varyColors val="0"/>
        <c:ser>
          <c:idx val="0"/>
          <c:order val="0"/>
          <c:tx>
            <c:strRef>
              <c:f>LTDC!$D$50</c:f>
              <c:strCache>
                <c:ptCount val="1"/>
                <c:pt idx="0">
                  <c:v>Total Revenue</c:v>
                </c:pt>
              </c:strCache>
            </c:strRef>
          </c:tx>
          <c:invertIfNegative val="0"/>
          <c:cat>
            <c:strRef>
              <c:f>LTDC!$E$49:$H$49</c:f>
              <c:strCache>
                <c:ptCount val="4"/>
                <c:pt idx="0">
                  <c:v>2014/15</c:v>
                </c:pt>
                <c:pt idx="1">
                  <c:v>2015/16</c:v>
                </c:pt>
                <c:pt idx="2">
                  <c:v>2016/17</c:v>
                </c:pt>
                <c:pt idx="3">
                  <c:v>2017/18</c:v>
                </c:pt>
              </c:strCache>
            </c:strRef>
          </c:cat>
          <c:val>
            <c:numRef>
              <c:f>LTDC!$E$50:$H$50</c:f>
              <c:numCache>
                <c:formatCode>#,##0</c:formatCode>
                <c:ptCount val="4"/>
                <c:pt idx="0">
                  <c:v>114230</c:v>
                </c:pt>
                <c:pt idx="1">
                  <c:v>146991</c:v>
                </c:pt>
                <c:pt idx="2">
                  <c:v>149320</c:v>
                </c:pt>
                <c:pt idx="3">
                  <c:v>147358</c:v>
                </c:pt>
              </c:numCache>
            </c:numRef>
          </c:val>
          <c:extLst>
            <c:ext xmlns:c16="http://schemas.microsoft.com/office/drawing/2014/chart" uri="{C3380CC4-5D6E-409C-BE32-E72D297353CC}">
              <c16:uniqueId val="{00000000-54DE-4D2D-93FD-4697610970CF}"/>
            </c:ext>
          </c:extLst>
        </c:ser>
        <c:dLbls>
          <c:showLegendKey val="0"/>
          <c:showVal val="0"/>
          <c:showCatName val="0"/>
          <c:showSerName val="0"/>
          <c:showPercent val="0"/>
          <c:showBubbleSize val="0"/>
        </c:dLbls>
        <c:gapWidth val="150"/>
        <c:axId val="2120203208"/>
        <c:axId val="2120200168"/>
      </c:barChart>
      <c:lineChart>
        <c:grouping val="standard"/>
        <c:varyColors val="0"/>
        <c:ser>
          <c:idx val="1"/>
          <c:order val="1"/>
          <c:tx>
            <c:strRef>
              <c:f>LTDC!$D$51</c:f>
              <c:strCache>
                <c:ptCount val="1"/>
                <c:pt idx="0">
                  <c:v>EBITDA %</c:v>
                </c:pt>
              </c:strCache>
            </c:strRef>
          </c:tx>
          <c:marker>
            <c:symbol val="none"/>
          </c:marker>
          <c:cat>
            <c:strRef>
              <c:f>LTDC!$E$49:$H$49</c:f>
              <c:strCache>
                <c:ptCount val="4"/>
                <c:pt idx="0">
                  <c:v>2014/15</c:v>
                </c:pt>
                <c:pt idx="1">
                  <c:v>2015/16</c:v>
                </c:pt>
                <c:pt idx="2">
                  <c:v>2016/17</c:v>
                </c:pt>
                <c:pt idx="3">
                  <c:v>2017/18</c:v>
                </c:pt>
              </c:strCache>
            </c:strRef>
          </c:cat>
          <c:val>
            <c:numRef>
              <c:f>LTDC!$E$51:$H$51</c:f>
              <c:numCache>
                <c:formatCode>0%</c:formatCode>
                <c:ptCount val="4"/>
                <c:pt idx="0">
                  <c:v>0.19</c:v>
                </c:pt>
                <c:pt idx="1">
                  <c:v>0.26</c:v>
                </c:pt>
                <c:pt idx="2">
                  <c:v>0.25</c:v>
                </c:pt>
                <c:pt idx="3">
                  <c:v>0.31</c:v>
                </c:pt>
              </c:numCache>
            </c:numRef>
          </c:val>
          <c:smooth val="0"/>
          <c:extLst>
            <c:ext xmlns:c16="http://schemas.microsoft.com/office/drawing/2014/chart" uri="{C3380CC4-5D6E-409C-BE32-E72D297353CC}">
              <c16:uniqueId val="{00000001-54DE-4D2D-93FD-4697610970CF}"/>
            </c:ext>
          </c:extLst>
        </c:ser>
        <c:ser>
          <c:idx val="2"/>
          <c:order val="2"/>
          <c:tx>
            <c:strRef>
              <c:f>LTDC!$D$52</c:f>
              <c:strCache>
                <c:ptCount val="1"/>
                <c:pt idx="0">
                  <c:v>NOPAT%</c:v>
                </c:pt>
              </c:strCache>
            </c:strRef>
          </c:tx>
          <c:marker>
            <c:symbol val="none"/>
          </c:marker>
          <c:cat>
            <c:strRef>
              <c:f>LTDC!$E$49:$H$49</c:f>
              <c:strCache>
                <c:ptCount val="4"/>
                <c:pt idx="0">
                  <c:v>2014/15</c:v>
                </c:pt>
                <c:pt idx="1">
                  <c:v>2015/16</c:v>
                </c:pt>
                <c:pt idx="2">
                  <c:v>2016/17</c:v>
                </c:pt>
                <c:pt idx="3">
                  <c:v>2017/18</c:v>
                </c:pt>
              </c:strCache>
            </c:strRef>
          </c:cat>
          <c:val>
            <c:numRef>
              <c:f>LTDC!$E$52:$H$52</c:f>
              <c:numCache>
                <c:formatCode>0.00%</c:formatCode>
                <c:ptCount val="4"/>
                <c:pt idx="0">
                  <c:v>0.109</c:v>
                </c:pt>
                <c:pt idx="1">
                  <c:v>0.218</c:v>
                </c:pt>
                <c:pt idx="2">
                  <c:v>0.23799999999999999</c:v>
                </c:pt>
                <c:pt idx="3">
                  <c:v>0.29699999999999999</c:v>
                </c:pt>
              </c:numCache>
            </c:numRef>
          </c:val>
          <c:smooth val="0"/>
          <c:extLst>
            <c:ext xmlns:c16="http://schemas.microsoft.com/office/drawing/2014/chart" uri="{C3380CC4-5D6E-409C-BE32-E72D297353CC}">
              <c16:uniqueId val="{00000002-54DE-4D2D-93FD-4697610970CF}"/>
            </c:ext>
          </c:extLst>
        </c:ser>
        <c:ser>
          <c:idx val="3"/>
          <c:order val="3"/>
          <c:tx>
            <c:strRef>
              <c:f>LTDC!$D$53</c:f>
              <c:strCache>
                <c:ptCount val="1"/>
                <c:pt idx="0">
                  <c:v>ROE</c:v>
                </c:pt>
              </c:strCache>
            </c:strRef>
          </c:tx>
          <c:marker>
            <c:symbol val="none"/>
          </c:marker>
          <c:cat>
            <c:strRef>
              <c:f>LTDC!$E$49:$H$49</c:f>
              <c:strCache>
                <c:ptCount val="4"/>
                <c:pt idx="0">
                  <c:v>2014/15</c:v>
                </c:pt>
                <c:pt idx="1">
                  <c:v>2015/16</c:v>
                </c:pt>
                <c:pt idx="2">
                  <c:v>2016/17</c:v>
                </c:pt>
                <c:pt idx="3">
                  <c:v>2017/18</c:v>
                </c:pt>
              </c:strCache>
            </c:strRef>
          </c:cat>
          <c:val>
            <c:numRef>
              <c:f>LTDC!$E$53:$H$53</c:f>
              <c:numCache>
                <c:formatCode>0.00%</c:formatCode>
                <c:ptCount val="4"/>
                <c:pt idx="0">
                  <c:v>1.7000000000000001E-2</c:v>
                </c:pt>
                <c:pt idx="1">
                  <c:v>3.6999999999999998E-2</c:v>
                </c:pt>
                <c:pt idx="2">
                  <c:v>3.5999999999999997E-2</c:v>
                </c:pt>
                <c:pt idx="3">
                  <c:v>4.1000000000000002E-2</c:v>
                </c:pt>
              </c:numCache>
            </c:numRef>
          </c:val>
          <c:smooth val="0"/>
          <c:extLst>
            <c:ext xmlns:c16="http://schemas.microsoft.com/office/drawing/2014/chart" uri="{C3380CC4-5D6E-409C-BE32-E72D297353CC}">
              <c16:uniqueId val="{00000003-54DE-4D2D-93FD-4697610970CF}"/>
            </c:ext>
          </c:extLst>
        </c:ser>
        <c:ser>
          <c:idx val="4"/>
          <c:order val="4"/>
          <c:tx>
            <c:strRef>
              <c:f>LTDC!$D$54</c:f>
              <c:strCache>
                <c:ptCount val="1"/>
                <c:pt idx="0">
                  <c:v>ROA</c:v>
                </c:pt>
              </c:strCache>
            </c:strRef>
          </c:tx>
          <c:marker>
            <c:symbol val="none"/>
          </c:marker>
          <c:cat>
            <c:strRef>
              <c:f>LTDC!$E$49:$H$49</c:f>
              <c:strCache>
                <c:ptCount val="4"/>
                <c:pt idx="0">
                  <c:v>2014/15</c:v>
                </c:pt>
                <c:pt idx="1">
                  <c:v>2015/16</c:v>
                </c:pt>
                <c:pt idx="2">
                  <c:v>2016/17</c:v>
                </c:pt>
                <c:pt idx="3">
                  <c:v>2017/18</c:v>
                </c:pt>
              </c:strCache>
            </c:strRef>
          </c:cat>
          <c:val>
            <c:numRef>
              <c:f>LTDC!$E$54:$H$54</c:f>
              <c:numCache>
                <c:formatCode>0.00%</c:formatCode>
                <c:ptCount val="4"/>
                <c:pt idx="0">
                  <c:v>1.4E-2</c:v>
                </c:pt>
                <c:pt idx="1">
                  <c:v>2.7E-2</c:v>
                </c:pt>
                <c:pt idx="2">
                  <c:v>2.7E-2</c:v>
                </c:pt>
                <c:pt idx="3">
                  <c:v>3.2000000000000001E-2</c:v>
                </c:pt>
              </c:numCache>
            </c:numRef>
          </c:val>
          <c:smooth val="0"/>
          <c:extLst>
            <c:ext xmlns:c16="http://schemas.microsoft.com/office/drawing/2014/chart" uri="{C3380CC4-5D6E-409C-BE32-E72D297353CC}">
              <c16:uniqueId val="{00000004-54DE-4D2D-93FD-4697610970CF}"/>
            </c:ext>
          </c:extLst>
        </c:ser>
        <c:dLbls>
          <c:showLegendKey val="0"/>
          <c:showVal val="0"/>
          <c:showCatName val="0"/>
          <c:showSerName val="0"/>
          <c:showPercent val="0"/>
          <c:showBubbleSize val="0"/>
        </c:dLbls>
        <c:marker val="1"/>
        <c:smooth val="0"/>
        <c:axId val="2120193976"/>
        <c:axId val="2120197032"/>
      </c:lineChart>
      <c:catAx>
        <c:axId val="2120193976"/>
        <c:scaling>
          <c:orientation val="minMax"/>
        </c:scaling>
        <c:delete val="0"/>
        <c:axPos val="b"/>
        <c:numFmt formatCode="General" sourceLinked="0"/>
        <c:majorTickMark val="out"/>
        <c:minorTickMark val="none"/>
        <c:tickLblPos val="nextTo"/>
        <c:crossAx val="2120197032"/>
        <c:crosses val="autoZero"/>
        <c:auto val="1"/>
        <c:lblAlgn val="ctr"/>
        <c:lblOffset val="100"/>
        <c:noMultiLvlLbl val="0"/>
      </c:catAx>
      <c:valAx>
        <c:axId val="2120197032"/>
        <c:scaling>
          <c:orientation val="minMax"/>
        </c:scaling>
        <c:delete val="0"/>
        <c:axPos val="l"/>
        <c:majorGridlines/>
        <c:numFmt formatCode="0%" sourceLinked="1"/>
        <c:majorTickMark val="out"/>
        <c:minorTickMark val="none"/>
        <c:tickLblPos val="nextTo"/>
        <c:txPr>
          <a:bodyPr/>
          <a:lstStyle/>
          <a:p>
            <a:pPr>
              <a:defRPr sz="900"/>
            </a:pPr>
            <a:endParaRPr lang="en-US"/>
          </a:p>
        </c:txPr>
        <c:crossAx val="2120193976"/>
        <c:crosses val="autoZero"/>
        <c:crossBetween val="between"/>
      </c:valAx>
      <c:valAx>
        <c:axId val="2120200168"/>
        <c:scaling>
          <c:orientation val="minMax"/>
        </c:scaling>
        <c:delete val="0"/>
        <c:axPos val="r"/>
        <c:numFmt formatCode="#,##0" sourceLinked="1"/>
        <c:majorTickMark val="out"/>
        <c:minorTickMark val="none"/>
        <c:tickLblPos val="nextTo"/>
        <c:txPr>
          <a:bodyPr/>
          <a:lstStyle/>
          <a:p>
            <a:pPr>
              <a:defRPr sz="900"/>
            </a:pPr>
            <a:endParaRPr lang="en-US"/>
          </a:p>
        </c:txPr>
        <c:crossAx val="2120203208"/>
        <c:crosses val="max"/>
        <c:crossBetween val="between"/>
      </c:valAx>
      <c:catAx>
        <c:axId val="2120203208"/>
        <c:scaling>
          <c:orientation val="minMax"/>
        </c:scaling>
        <c:delete val="1"/>
        <c:axPos val="b"/>
        <c:numFmt formatCode="General" sourceLinked="1"/>
        <c:majorTickMark val="out"/>
        <c:minorTickMark val="none"/>
        <c:tickLblPos val="nextTo"/>
        <c:crossAx val="2120200168"/>
        <c:crosses val="autoZero"/>
        <c:auto val="1"/>
        <c:lblAlgn val="ctr"/>
        <c:lblOffset val="100"/>
        <c:noMultiLvlLbl val="0"/>
      </c:cat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GB" sz="1000" b="1" i="0" u="none" strike="noStrike" baseline="0">
                <a:effectLst/>
              </a:rPr>
              <a:t>MMB Returns 2014/15 to 2017/18 </a:t>
            </a:r>
            <a:endParaRPr lang="en-US" sz="1000"/>
          </a:p>
        </c:rich>
      </c:tx>
      <c:overlay val="1"/>
    </c:title>
    <c:autoTitleDeleted val="0"/>
    <c:plotArea>
      <c:layout/>
      <c:barChart>
        <c:barDir val="col"/>
        <c:grouping val="clustered"/>
        <c:varyColors val="0"/>
        <c:ser>
          <c:idx val="0"/>
          <c:order val="0"/>
          <c:tx>
            <c:strRef>
              <c:f>MMB!$D$50</c:f>
              <c:strCache>
                <c:ptCount val="1"/>
                <c:pt idx="0">
                  <c:v>Total Revenue</c:v>
                </c:pt>
              </c:strCache>
            </c:strRef>
          </c:tx>
          <c:invertIfNegative val="0"/>
          <c:cat>
            <c:strRef>
              <c:f>MMB!$E$49:$H$49</c:f>
              <c:strCache>
                <c:ptCount val="4"/>
                <c:pt idx="0">
                  <c:v>2014/15</c:v>
                </c:pt>
                <c:pt idx="1">
                  <c:v>2015/16</c:v>
                </c:pt>
                <c:pt idx="2">
                  <c:v>2016/17</c:v>
                </c:pt>
                <c:pt idx="3">
                  <c:v>2017/18</c:v>
                </c:pt>
              </c:strCache>
            </c:strRef>
          </c:cat>
          <c:val>
            <c:numRef>
              <c:f>MMB!$E$50:$H$50</c:f>
              <c:numCache>
                <c:formatCode>#,##0</c:formatCode>
                <c:ptCount val="4"/>
                <c:pt idx="0">
                  <c:v>733666</c:v>
                </c:pt>
                <c:pt idx="1">
                  <c:v>830793</c:v>
                </c:pt>
                <c:pt idx="2">
                  <c:v>701387</c:v>
                </c:pt>
                <c:pt idx="3">
                  <c:v>990845</c:v>
                </c:pt>
              </c:numCache>
            </c:numRef>
          </c:val>
          <c:extLst>
            <c:ext xmlns:c16="http://schemas.microsoft.com/office/drawing/2014/chart" uri="{C3380CC4-5D6E-409C-BE32-E72D297353CC}">
              <c16:uniqueId val="{00000000-43FF-4D89-B057-6D6724AD0264}"/>
            </c:ext>
          </c:extLst>
        </c:ser>
        <c:dLbls>
          <c:showLegendKey val="0"/>
          <c:showVal val="0"/>
          <c:showCatName val="0"/>
          <c:showSerName val="0"/>
          <c:showPercent val="0"/>
          <c:showBubbleSize val="0"/>
        </c:dLbls>
        <c:gapWidth val="150"/>
        <c:axId val="2119194776"/>
        <c:axId val="2119197800"/>
      </c:barChart>
      <c:lineChart>
        <c:grouping val="standard"/>
        <c:varyColors val="0"/>
        <c:ser>
          <c:idx val="1"/>
          <c:order val="1"/>
          <c:tx>
            <c:strRef>
              <c:f>MMB!$D$51</c:f>
              <c:strCache>
                <c:ptCount val="1"/>
                <c:pt idx="0">
                  <c:v>EBITDA %</c:v>
                </c:pt>
              </c:strCache>
            </c:strRef>
          </c:tx>
          <c:marker>
            <c:symbol val="none"/>
          </c:marker>
          <c:cat>
            <c:strRef>
              <c:f>MMB!$E$49:$H$49</c:f>
              <c:strCache>
                <c:ptCount val="4"/>
                <c:pt idx="0">
                  <c:v>2014/15</c:v>
                </c:pt>
                <c:pt idx="1">
                  <c:v>2015/16</c:v>
                </c:pt>
                <c:pt idx="2">
                  <c:v>2016/17</c:v>
                </c:pt>
                <c:pt idx="3">
                  <c:v>2017/18</c:v>
                </c:pt>
              </c:strCache>
            </c:strRef>
          </c:cat>
          <c:val>
            <c:numRef>
              <c:f>MMB!$E$51:$H$51</c:f>
              <c:numCache>
                <c:formatCode>0%</c:formatCode>
                <c:ptCount val="4"/>
                <c:pt idx="0">
                  <c:v>0.16</c:v>
                </c:pt>
                <c:pt idx="1">
                  <c:v>0.16</c:v>
                </c:pt>
                <c:pt idx="2">
                  <c:v>0.17</c:v>
                </c:pt>
                <c:pt idx="3">
                  <c:v>0.16</c:v>
                </c:pt>
              </c:numCache>
            </c:numRef>
          </c:val>
          <c:smooth val="0"/>
          <c:extLst>
            <c:ext xmlns:c16="http://schemas.microsoft.com/office/drawing/2014/chart" uri="{C3380CC4-5D6E-409C-BE32-E72D297353CC}">
              <c16:uniqueId val="{00000001-43FF-4D89-B057-6D6724AD0264}"/>
            </c:ext>
          </c:extLst>
        </c:ser>
        <c:ser>
          <c:idx val="2"/>
          <c:order val="2"/>
          <c:tx>
            <c:strRef>
              <c:f>MMB!$D$52</c:f>
              <c:strCache>
                <c:ptCount val="1"/>
                <c:pt idx="0">
                  <c:v>NOPAT%</c:v>
                </c:pt>
              </c:strCache>
            </c:strRef>
          </c:tx>
          <c:marker>
            <c:symbol val="none"/>
          </c:marker>
          <c:cat>
            <c:strRef>
              <c:f>MMB!$E$49:$H$49</c:f>
              <c:strCache>
                <c:ptCount val="4"/>
                <c:pt idx="0">
                  <c:v>2014/15</c:v>
                </c:pt>
                <c:pt idx="1">
                  <c:v>2015/16</c:v>
                </c:pt>
                <c:pt idx="2">
                  <c:v>2016/17</c:v>
                </c:pt>
                <c:pt idx="3">
                  <c:v>2017/18</c:v>
                </c:pt>
              </c:strCache>
            </c:strRef>
          </c:cat>
          <c:val>
            <c:numRef>
              <c:f>MMB!$E$52:$H$52</c:f>
              <c:numCache>
                <c:formatCode>0.00%</c:formatCode>
                <c:ptCount val="4"/>
                <c:pt idx="0">
                  <c:v>0.13200000000000001</c:v>
                </c:pt>
                <c:pt idx="1">
                  <c:v>0.14299999999999999</c:v>
                </c:pt>
                <c:pt idx="2">
                  <c:v>0.14899999999999999</c:v>
                </c:pt>
                <c:pt idx="3">
                  <c:v>0.13900000000000001</c:v>
                </c:pt>
              </c:numCache>
            </c:numRef>
          </c:val>
          <c:smooth val="0"/>
          <c:extLst>
            <c:ext xmlns:c16="http://schemas.microsoft.com/office/drawing/2014/chart" uri="{C3380CC4-5D6E-409C-BE32-E72D297353CC}">
              <c16:uniqueId val="{00000002-43FF-4D89-B057-6D6724AD0264}"/>
            </c:ext>
          </c:extLst>
        </c:ser>
        <c:ser>
          <c:idx val="3"/>
          <c:order val="3"/>
          <c:tx>
            <c:strRef>
              <c:f>MMB!$D$53</c:f>
              <c:strCache>
                <c:ptCount val="1"/>
                <c:pt idx="0">
                  <c:v>ROE</c:v>
                </c:pt>
              </c:strCache>
            </c:strRef>
          </c:tx>
          <c:marker>
            <c:symbol val="none"/>
          </c:marker>
          <c:cat>
            <c:strRef>
              <c:f>MMB!$E$49:$H$49</c:f>
              <c:strCache>
                <c:ptCount val="4"/>
                <c:pt idx="0">
                  <c:v>2014/15</c:v>
                </c:pt>
                <c:pt idx="1">
                  <c:v>2015/16</c:v>
                </c:pt>
                <c:pt idx="2">
                  <c:v>2016/17</c:v>
                </c:pt>
                <c:pt idx="3">
                  <c:v>2017/18</c:v>
                </c:pt>
              </c:strCache>
            </c:strRef>
          </c:cat>
          <c:val>
            <c:numRef>
              <c:f>MMB!$E$53:$H$53</c:f>
              <c:numCache>
                <c:formatCode>0.00%</c:formatCode>
                <c:ptCount val="4"/>
                <c:pt idx="0">
                  <c:v>0.432</c:v>
                </c:pt>
                <c:pt idx="1">
                  <c:v>0.497</c:v>
                </c:pt>
                <c:pt idx="2">
                  <c:v>0.35399999999999998</c:v>
                </c:pt>
                <c:pt idx="3">
                  <c:v>0.432</c:v>
                </c:pt>
              </c:numCache>
            </c:numRef>
          </c:val>
          <c:smooth val="0"/>
          <c:extLst>
            <c:ext xmlns:c16="http://schemas.microsoft.com/office/drawing/2014/chart" uri="{C3380CC4-5D6E-409C-BE32-E72D297353CC}">
              <c16:uniqueId val="{00000003-43FF-4D89-B057-6D6724AD0264}"/>
            </c:ext>
          </c:extLst>
        </c:ser>
        <c:ser>
          <c:idx val="4"/>
          <c:order val="4"/>
          <c:tx>
            <c:strRef>
              <c:f>MMB!$D$54</c:f>
              <c:strCache>
                <c:ptCount val="1"/>
                <c:pt idx="0">
                  <c:v>ROA</c:v>
                </c:pt>
              </c:strCache>
            </c:strRef>
          </c:tx>
          <c:marker>
            <c:symbol val="none"/>
          </c:marker>
          <c:cat>
            <c:strRef>
              <c:f>MMB!$E$49:$H$49</c:f>
              <c:strCache>
                <c:ptCount val="4"/>
                <c:pt idx="0">
                  <c:v>2014/15</c:v>
                </c:pt>
                <c:pt idx="1">
                  <c:v>2015/16</c:v>
                </c:pt>
                <c:pt idx="2">
                  <c:v>2016/17</c:v>
                </c:pt>
                <c:pt idx="3">
                  <c:v>2017/18</c:v>
                </c:pt>
              </c:strCache>
            </c:strRef>
          </c:cat>
          <c:val>
            <c:numRef>
              <c:f>MMB!$E$54:$H$54</c:f>
              <c:numCache>
                <c:formatCode>0.00%</c:formatCode>
                <c:ptCount val="4"/>
                <c:pt idx="0">
                  <c:v>0.23300000000000001</c:v>
                </c:pt>
                <c:pt idx="1">
                  <c:v>0.25700000000000001</c:v>
                </c:pt>
                <c:pt idx="2">
                  <c:v>0.17499999999999999</c:v>
                </c:pt>
                <c:pt idx="3">
                  <c:v>0.187</c:v>
                </c:pt>
              </c:numCache>
            </c:numRef>
          </c:val>
          <c:smooth val="0"/>
          <c:extLst>
            <c:ext xmlns:c16="http://schemas.microsoft.com/office/drawing/2014/chart" uri="{C3380CC4-5D6E-409C-BE32-E72D297353CC}">
              <c16:uniqueId val="{00000004-43FF-4D89-B057-6D6724AD0264}"/>
            </c:ext>
          </c:extLst>
        </c:ser>
        <c:dLbls>
          <c:showLegendKey val="0"/>
          <c:showVal val="0"/>
          <c:showCatName val="0"/>
          <c:showSerName val="0"/>
          <c:showPercent val="0"/>
          <c:showBubbleSize val="0"/>
        </c:dLbls>
        <c:marker val="1"/>
        <c:smooth val="0"/>
        <c:axId val="2119204008"/>
        <c:axId val="2119200936"/>
      </c:lineChart>
      <c:catAx>
        <c:axId val="2119204008"/>
        <c:scaling>
          <c:orientation val="minMax"/>
        </c:scaling>
        <c:delete val="0"/>
        <c:axPos val="b"/>
        <c:numFmt formatCode="General" sourceLinked="0"/>
        <c:majorTickMark val="out"/>
        <c:minorTickMark val="none"/>
        <c:tickLblPos val="nextTo"/>
        <c:crossAx val="2119200936"/>
        <c:crosses val="autoZero"/>
        <c:auto val="1"/>
        <c:lblAlgn val="ctr"/>
        <c:lblOffset val="100"/>
        <c:noMultiLvlLbl val="0"/>
      </c:catAx>
      <c:valAx>
        <c:axId val="2119200936"/>
        <c:scaling>
          <c:orientation val="minMax"/>
        </c:scaling>
        <c:delete val="0"/>
        <c:axPos val="l"/>
        <c:majorGridlines/>
        <c:numFmt formatCode="0%" sourceLinked="1"/>
        <c:majorTickMark val="out"/>
        <c:minorTickMark val="none"/>
        <c:tickLblPos val="nextTo"/>
        <c:txPr>
          <a:bodyPr/>
          <a:lstStyle/>
          <a:p>
            <a:pPr>
              <a:defRPr sz="900"/>
            </a:pPr>
            <a:endParaRPr lang="en-US"/>
          </a:p>
        </c:txPr>
        <c:crossAx val="2119204008"/>
        <c:crosses val="autoZero"/>
        <c:crossBetween val="between"/>
      </c:valAx>
      <c:valAx>
        <c:axId val="2119197800"/>
        <c:scaling>
          <c:orientation val="minMax"/>
        </c:scaling>
        <c:delete val="0"/>
        <c:axPos val="r"/>
        <c:numFmt formatCode="#,##0" sourceLinked="1"/>
        <c:majorTickMark val="out"/>
        <c:minorTickMark val="none"/>
        <c:tickLblPos val="nextTo"/>
        <c:txPr>
          <a:bodyPr/>
          <a:lstStyle/>
          <a:p>
            <a:pPr>
              <a:defRPr sz="900"/>
            </a:pPr>
            <a:endParaRPr lang="en-US"/>
          </a:p>
        </c:txPr>
        <c:crossAx val="2119194776"/>
        <c:crosses val="max"/>
        <c:crossBetween val="between"/>
      </c:valAx>
      <c:catAx>
        <c:axId val="2119194776"/>
        <c:scaling>
          <c:orientation val="minMax"/>
        </c:scaling>
        <c:delete val="1"/>
        <c:axPos val="b"/>
        <c:numFmt formatCode="General" sourceLinked="1"/>
        <c:majorTickMark val="out"/>
        <c:minorTickMark val="none"/>
        <c:tickLblPos val="nextTo"/>
        <c:crossAx val="2119197800"/>
        <c:crosses val="autoZero"/>
        <c:auto val="1"/>
        <c:lblAlgn val="ctr"/>
        <c:lblOffset val="100"/>
        <c:noMultiLvlLbl val="0"/>
      </c:cat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Largest</a:t>
            </a:r>
            <a:r>
              <a:rPr lang="en-US" sz="1000" baseline="0"/>
              <a:t> Companies 2017/18 Revenue as % of 2017 GDP</a:t>
            </a:r>
            <a:endParaRPr lang="en-US" sz="1000"/>
          </a:p>
        </c:rich>
      </c:tx>
      <c:overlay val="0"/>
    </c:title>
    <c:autoTitleDeleted val="0"/>
    <c:plotArea>
      <c:layout/>
      <c:barChart>
        <c:barDir val="col"/>
        <c:grouping val="clustered"/>
        <c:varyColors val="0"/>
        <c:ser>
          <c:idx val="1"/>
          <c:order val="1"/>
          <c:tx>
            <c:strRef>
              <c:f>Sheet5!$E$5</c:f>
              <c:strCache>
                <c:ptCount val="1"/>
                <c:pt idx="0">
                  <c:v>Revenue (M000)</c:v>
                </c:pt>
              </c:strCache>
            </c:strRef>
          </c:tx>
          <c:invertIfNegative val="0"/>
          <c:cat>
            <c:strRef>
              <c:f>Sheet5!$C$6:$C$11</c:f>
              <c:strCache>
                <c:ptCount val="5"/>
                <c:pt idx="0">
                  <c:v>LFM</c:v>
                </c:pt>
                <c:pt idx="1">
                  <c:v>LEC</c:v>
                </c:pt>
                <c:pt idx="2">
                  <c:v>MMB</c:v>
                </c:pt>
                <c:pt idx="3">
                  <c:v>SLB</c:v>
                </c:pt>
                <c:pt idx="4">
                  <c:v>Letseng</c:v>
                </c:pt>
              </c:strCache>
            </c:strRef>
          </c:cat>
          <c:val>
            <c:numRef>
              <c:f>Sheet5!$E$6:$E$11</c:f>
              <c:numCache>
                <c:formatCode>#,##0</c:formatCode>
                <c:ptCount val="5"/>
                <c:pt idx="0">
                  <c:v>797321</c:v>
                </c:pt>
                <c:pt idx="1">
                  <c:v>982580</c:v>
                </c:pt>
                <c:pt idx="2">
                  <c:v>990845</c:v>
                </c:pt>
                <c:pt idx="3">
                  <c:v>1227929</c:v>
                </c:pt>
                <c:pt idx="4">
                  <c:v>2716880</c:v>
                </c:pt>
              </c:numCache>
            </c:numRef>
          </c:val>
          <c:extLst>
            <c:ext xmlns:c16="http://schemas.microsoft.com/office/drawing/2014/chart" uri="{C3380CC4-5D6E-409C-BE32-E72D297353CC}">
              <c16:uniqueId val="{00000000-3395-4690-B267-FD066025A2D4}"/>
            </c:ext>
          </c:extLst>
        </c:ser>
        <c:dLbls>
          <c:showLegendKey val="0"/>
          <c:showVal val="0"/>
          <c:showCatName val="0"/>
          <c:showSerName val="0"/>
          <c:showPercent val="0"/>
          <c:showBubbleSize val="0"/>
        </c:dLbls>
        <c:gapWidth val="150"/>
        <c:axId val="2118130216"/>
        <c:axId val="2118127224"/>
      </c:barChart>
      <c:lineChart>
        <c:grouping val="standard"/>
        <c:varyColors val="0"/>
        <c:ser>
          <c:idx val="0"/>
          <c:order val="0"/>
          <c:tx>
            <c:strRef>
              <c:f>Sheet5!$D$5</c:f>
              <c:strCache>
                <c:ptCount val="1"/>
                <c:pt idx="0">
                  <c:v>% GDP</c:v>
                </c:pt>
              </c:strCache>
            </c:strRef>
          </c:tx>
          <c:marker>
            <c:symbol val="none"/>
          </c:marker>
          <c:cat>
            <c:strRef>
              <c:f>Sheet5!$C$6:$C$11</c:f>
              <c:strCache>
                <c:ptCount val="5"/>
                <c:pt idx="0">
                  <c:v>LFM</c:v>
                </c:pt>
                <c:pt idx="1">
                  <c:v>LEC</c:v>
                </c:pt>
                <c:pt idx="2">
                  <c:v>MMB</c:v>
                </c:pt>
                <c:pt idx="3">
                  <c:v>SLB</c:v>
                </c:pt>
                <c:pt idx="4">
                  <c:v>Letseng</c:v>
                </c:pt>
              </c:strCache>
            </c:strRef>
          </c:cat>
          <c:val>
            <c:numRef>
              <c:f>Sheet5!$D$6:$D$11</c:f>
              <c:numCache>
                <c:formatCode>0.00%</c:formatCode>
                <c:ptCount val="5"/>
                <c:pt idx="0">
                  <c:v>2.29E-2</c:v>
                </c:pt>
                <c:pt idx="1">
                  <c:v>2.8199999999999999E-2</c:v>
                </c:pt>
                <c:pt idx="2">
                  <c:v>2.8500000000000001E-2</c:v>
                </c:pt>
                <c:pt idx="3">
                  <c:v>3.5299999999999998E-2</c:v>
                </c:pt>
                <c:pt idx="4">
                  <c:v>7.8100000000000003E-2</c:v>
                </c:pt>
              </c:numCache>
            </c:numRef>
          </c:val>
          <c:smooth val="0"/>
          <c:extLst>
            <c:ext xmlns:c16="http://schemas.microsoft.com/office/drawing/2014/chart" uri="{C3380CC4-5D6E-409C-BE32-E72D297353CC}">
              <c16:uniqueId val="{00000001-3395-4690-B267-FD066025A2D4}"/>
            </c:ext>
          </c:extLst>
        </c:ser>
        <c:dLbls>
          <c:showLegendKey val="0"/>
          <c:showVal val="0"/>
          <c:showCatName val="0"/>
          <c:showSerName val="0"/>
          <c:showPercent val="0"/>
          <c:showBubbleSize val="0"/>
        </c:dLbls>
        <c:marker val="1"/>
        <c:smooth val="0"/>
        <c:axId val="2120270920"/>
        <c:axId val="2118124088"/>
      </c:lineChart>
      <c:catAx>
        <c:axId val="2118130216"/>
        <c:scaling>
          <c:orientation val="minMax"/>
        </c:scaling>
        <c:delete val="0"/>
        <c:axPos val="b"/>
        <c:numFmt formatCode="General" sourceLinked="0"/>
        <c:majorTickMark val="out"/>
        <c:minorTickMark val="none"/>
        <c:tickLblPos val="nextTo"/>
        <c:crossAx val="2118127224"/>
        <c:crosses val="autoZero"/>
        <c:auto val="1"/>
        <c:lblAlgn val="ctr"/>
        <c:lblOffset val="100"/>
        <c:noMultiLvlLbl val="0"/>
      </c:catAx>
      <c:valAx>
        <c:axId val="2118127224"/>
        <c:scaling>
          <c:orientation val="minMax"/>
        </c:scaling>
        <c:delete val="0"/>
        <c:axPos val="l"/>
        <c:majorGridlines/>
        <c:numFmt formatCode="#,##0" sourceLinked="1"/>
        <c:majorTickMark val="out"/>
        <c:minorTickMark val="none"/>
        <c:tickLblPos val="nextTo"/>
        <c:txPr>
          <a:bodyPr/>
          <a:lstStyle/>
          <a:p>
            <a:pPr>
              <a:defRPr sz="900"/>
            </a:pPr>
            <a:endParaRPr lang="en-US"/>
          </a:p>
        </c:txPr>
        <c:crossAx val="2118130216"/>
        <c:crosses val="autoZero"/>
        <c:crossBetween val="between"/>
      </c:valAx>
      <c:valAx>
        <c:axId val="2118124088"/>
        <c:scaling>
          <c:orientation val="minMax"/>
        </c:scaling>
        <c:delete val="0"/>
        <c:axPos val="r"/>
        <c:numFmt formatCode="0.00%" sourceLinked="1"/>
        <c:majorTickMark val="out"/>
        <c:minorTickMark val="none"/>
        <c:tickLblPos val="nextTo"/>
        <c:txPr>
          <a:bodyPr/>
          <a:lstStyle/>
          <a:p>
            <a:pPr>
              <a:defRPr sz="900"/>
            </a:pPr>
            <a:endParaRPr lang="en-US"/>
          </a:p>
        </c:txPr>
        <c:crossAx val="2120270920"/>
        <c:crosses val="max"/>
        <c:crossBetween val="between"/>
      </c:valAx>
      <c:catAx>
        <c:axId val="2120270920"/>
        <c:scaling>
          <c:orientation val="minMax"/>
        </c:scaling>
        <c:delete val="1"/>
        <c:axPos val="b"/>
        <c:numFmt formatCode="General" sourceLinked="1"/>
        <c:majorTickMark val="out"/>
        <c:minorTickMark val="none"/>
        <c:tickLblPos val="nextTo"/>
        <c:crossAx val="2118124088"/>
        <c:crosses val="autoZero"/>
        <c:auto val="1"/>
        <c:lblAlgn val="ctr"/>
        <c:lblOffset val="100"/>
        <c:noMultiLvlLbl val="0"/>
      </c:catAx>
      <c:spPr>
        <a:noFill/>
      </c:spPr>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MMB!$D$71</c:f>
              <c:strCache>
                <c:ptCount val="1"/>
                <c:pt idx="0">
                  <c:v>Total Assets (M'000)</c:v>
                </c:pt>
              </c:strCache>
            </c:strRef>
          </c:tx>
          <c:invertIfNegative val="0"/>
          <c:cat>
            <c:strRef>
              <c:f>MMB!$E$70:$H$70</c:f>
              <c:strCache>
                <c:ptCount val="4"/>
                <c:pt idx="0">
                  <c:v>2014/15</c:v>
                </c:pt>
                <c:pt idx="1">
                  <c:v>2015/16</c:v>
                </c:pt>
                <c:pt idx="2">
                  <c:v>2016/17</c:v>
                </c:pt>
                <c:pt idx="3">
                  <c:v>2017/18</c:v>
                </c:pt>
              </c:strCache>
            </c:strRef>
          </c:cat>
          <c:val>
            <c:numRef>
              <c:f>MMB!$E$71:$H$71</c:f>
              <c:numCache>
                <c:formatCode>#,##0</c:formatCode>
                <c:ptCount val="4"/>
                <c:pt idx="0">
                  <c:v>414972</c:v>
                </c:pt>
                <c:pt idx="1">
                  <c:v>461653</c:v>
                </c:pt>
                <c:pt idx="2">
                  <c:v>595852</c:v>
                </c:pt>
                <c:pt idx="3">
                  <c:v>736280</c:v>
                </c:pt>
              </c:numCache>
            </c:numRef>
          </c:val>
          <c:extLst>
            <c:ext xmlns:c16="http://schemas.microsoft.com/office/drawing/2014/chart" uri="{C3380CC4-5D6E-409C-BE32-E72D297353CC}">
              <c16:uniqueId val="{00000000-1F2F-48DE-AAC8-526AA9369F8B}"/>
            </c:ext>
          </c:extLst>
        </c:ser>
        <c:ser>
          <c:idx val="1"/>
          <c:order val="1"/>
          <c:tx>
            <c:strRef>
              <c:f>MMB!$D$72</c:f>
              <c:strCache>
                <c:ptCount val="1"/>
                <c:pt idx="0">
                  <c:v>Shareholders' Funds M'000)</c:v>
                </c:pt>
              </c:strCache>
            </c:strRef>
          </c:tx>
          <c:invertIfNegative val="0"/>
          <c:cat>
            <c:strRef>
              <c:f>MMB!$E$70:$H$70</c:f>
              <c:strCache>
                <c:ptCount val="4"/>
                <c:pt idx="0">
                  <c:v>2014/15</c:v>
                </c:pt>
                <c:pt idx="1">
                  <c:v>2015/16</c:v>
                </c:pt>
                <c:pt idx="2">
                  <c:v>2016/17</c:v>
                </c:pt>
                <c:pt idx="3">
                  <c:v>2017/18</c:v>
                </c:pt>
              </c:strCache>
            </c:strRef>
          </c:cat>
          <c:val>
            <c:numRef>
              <c:f>MMB!$E$72:$H$72</c:f>
              <c:numCache>
                <c:formatCode>#,##0</c:formatCode>
                <c:ptCount val="4"/>
                <c:pt idx="0">
                  <c:v>223962</c:v>
                </c:pt>
                <c:pt idx="1">
                  <c:v>238560</c:v>
                </c:pt>
                <c:pt idx="2">
                  <c:v>294980</c:v>
                </c:pt>
                <c:pt idx="3">
                  <c:v>318369</c:v>
                </c:pt>
              </c:numCache>
            </c:numRef>
          </c:val>
          <c:extLst>
            <c:ext xmlns:c16="http://schemas.microsoft.com/office/drawing/2014/chart" uri="{C3380CC4-5D6E-409C-BE32-E72D297353CC}">
              <c16:uniqueId val="{00000001-1F2F-48DE-AAC8-526AA9369F8B}"/>
            </c:ext>
          </c:extLst>
        </c:ser>
        <c:dLbls>
          <c:showLegendKey val="0"/>
          <c:showVal val="0"/>
          <c:showCatName val="0"/>
          <c:showSerName val="0"/>
          <c:showPercent val="0"/>
          <c:showBubbleSize val="0"/>
        </c:dLbls>
        <c:gapWidth val="150"/>
        <c:axId val="2089478440"/>
        <c:axId val="2089481416"/>
      </c:barChart>
      <c:lineChart>
        <c:grouping val="standard"/>
        <c:varyColors val="0"/>
        <c:ser>
          <c:idx val="2"/>
          <c:order val="2"/>
          <c:tx>
            <c:strRef>
              <c:f>MMB!$D$73</c:f>
              <c:strCache>
                <c:ptCount val="1"/>
                <c:pt idx="0">
                  <c:v>Equity as % of TA</c:v>
                </c:pt>
              </c:strCache>
            </c:strRef>
          </c:tx>
          <c:marker>
            <c:symbol val="none"/>
          </c:marker>
          <c:cat>
            <c:strRef>
              <c:f>MMB!$E$70:$H$70</c:f>
              <c:strCache>
                <c:ptCount val="4"/>
                <c:pt idx="0">
                  <c:v>2014/15</c:v>
                </c:pt>
                <c:pt idx="1">
                  <c:v>2015/16</c:v>
                </c:pt>
                <c:pt idx="2">
                  <c:v>2016/17</c:v>
                </c:pt>
                <c:pt idx="3">
                  <c:v>2017/18</c:v>
                </c:pt>
              </c:strCache>
            </c:strRef>
          </c:cat>
          <c:val>
            <c:numRef>
              <c:f>MMB!$E$73:$H$73</c:f>
              <c:numCache>
                <c:formatCode>0.00%</c:formatCode>
                <c:ptCount val="4"/>
                <c:pt idx="0">
                  <c:v>0.53970388363552202</c:v>
                </c:pt>
                <c:pt idx="1">
                  <c:v>0.51675175943836604</c:v>
                </c:pt>
                <c:pt idx="2">
                  <c:v>0.49505581923027903</c:v>
                </c:pt>
                <c:pt idx="3">
                  <c:v>0.43240207529744101</c:v>
                </c:pt>
              </c:numCache>
            </c:numRef>
          </c:val>
          <c:smooth val="0"/>
          <c:extLst>
            <c:ext xmlns:c16="http://schemas.microsoft.com/office/drawing/2014/chart" uri="{C3380CC4-5D6E-409C-BE32-E72D297353CC}">
              <c16:uniqueId val="{00000002-1F2F-48DE-AAC8-526AA9369F8B}"/>
            </c:ext>
          </c:extLst>
        </c:ser>
        <c:dLbls>
          <c:showLegendKey val="0"/>
          <c:showVal val="0"/>
          <c:showCatName val="0"/>
          <c:showSerName val="0"/>
          <c:showPercent val="0"/>
          <c:showBubbleSize val="0"/>
        </c:dLbls>
        <c:marker val="1"/>
        <c:smooth val="0"/>
        <c:axId val="2089487816"/>
        <c:axId val="2089484776"/>
      </c:lineChart>
      <c:catAx>
        <c:axId val="2089478440"/>
        <c:scaling>
          <c:orientation val="minMax"/>
        </c:scaling>
        <c:delete val="0"/>
        <c:axPos val="b"/>
        <c:numFmt formatCode="General" sourceLinked="0"/>
        <c:majorTickMark val="out"/>
        <c:minorTickMark val="none"/>
        <c:tickLblPos val="nextTo"/>
        <c:crossAx val="2089481416"/>
        <c:crosses val="autoZero"/>
        <c:auto val="1"/>
        <c:lblAlgn val="ctr"/>
        <c:lblOffset val="100"/>
        <c:noMultiLvlLbl val="0"/>
      </c:catAx>
      <c:valAx>
        <c:axId val="2089481416"/>
        <c:scaling>
          <c:orientation val="minMax"/>
        </c:scaling>
        <c:delete val="0"/>
        <c:axPos val="l"/>
        <c:majorGridlines/>
        <c:numFmt formatCode="#,##0" sourceLinked="1"/>
        <c:majorTickMark val="out"/>
        <c:minorTickMark val="none"/>
        <c:tickLblPos val="nextTo"/>
        <c:txPr>
          <a:bodyPr/>
          <a:lstStyle/>
          <a:p>
            <a:pPr>
              <a:defRPr sz="900"/>
            </a:pPr>
            <a:endParaRPr lang="en-US"/>
          </a:p>
        </c:txPr>
        <c:crossAx val="2089478440"/>
        <c:crosses val="autoZero"/>
        <c:crossBetween val="between"/>
      </c:valAx>
      <c:valAx>
        <c:axId val="2089484776"/>
        <c:scaling>
          <c:orientation val="minMax"/>
        </c:scaling>
        <c:delete val="0"/>
        <c:axPos val="r"/>
        <c:numFmt formatCode="0.00%" sourceLinked="1"/>
        <c:majorTickMark val="out"/>
        <c:minorTickMark val="none"/>
        <c:tickLblPos val="nextTo"/>
        <c:txPr>
          <a:bodyPr/>
          <a:lstStyle/>
          <a:p>
            <a:pPr>
              <a:defRPr sz="900"/>
            </a:pPr>
            <a:endParaRPr lang="en-US"/>
          </a:p>
        </c:txPr>
        <c:crossAx val="2089487816"/>
        <c:crosses val="max"/>
        <c:crossBetween val="between"/>
      </c:valAx>
      <c:catAx>
        <c:axId val="2089487816"/>
        <c:scaling>
          <c:orientation val="minMax"/>
        </c:scaling>
        <c:delete val="1"/>
        <c:axPos val="b"/>
        <c:numFmt formatCode="General" sourceLinked="1"/>
        <c:majorTickMark val="out"/>
        <c:minorTickMark val="none"/>
        <c:tickLblPos val="nextTo"/>
        <c:crossAx val="2089484776"/>
        <c:crosses val="autoZero"/>
        <c:auto val="1"/>
        <c:lblAlgn val="ctr"/>
        <c:lblOffset val="100"/>
        <c:noMultiLvlLbl val="0"/>
      </c:catAx>
    </c:plotArea>
    <c:legend>
      <c:legendPos val="t"/>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GB" sz="1000" b="1" i="0" u="none" strike="noStrike" baseline="0">
                <a:effectLst/>
              </a:rPr>
              <a:t>OK Bazaars Returns 2014/15 to 2017/18 </a:t>
            </a:r>
            <a:endParaRPr lang="en-US" sz="1000"/>
          </a:p>
        </c:rich>
      </c:tx>
      <c:overlay val="1"/>
    </c:title>
    <c:autoTitleDeleted val="0"/>
    <c:plotArea>
      <c:layout/>
      <c:barChart>
        <c:barDir val="col"/>
        <c:grouping val="clustered"/>
        <c:varyColors val="0"/>
        <c:ser>
          <c:idx val="0"/>
          <c:order val="0"/>
          <c:tx>
            <c:strRef>
              <c:f>'OK Bazaars'!$D$49</c:f>
              <c:strCache>
                <c:ptCount val="1"/>
                <c:pt idx="0">
                  <c:v>Total Revenue</c:v>
                </c:pt>
              </c:strCache>
            </c:strRef>
          </c:tx>
          <c:invertIfNegative val="0"/>
          <c:cat>
            <c:strRef>
              <c:f>'OK Bazaars'!$E$48:$H$48</c:f>
              <c:strCache>
                <c:ptCount val="4"/>
                <c:pt idx="0">
                  <c:v>2014/15</c:v>
                </c:pt>
                <c:pt idx="1">
                  <c:v>2015/16</c:v>
                </c:pt>
                <c:pt idx="2">
                  <c:v>2016/17</c:v>
                </c:pt>
                <c:pt idx="3">
                  <c:v>2017/18</c:v>
                </c:pt>
              </c:strCache>
            </c:strRef>
          </c:cat>
          <c:val>
            <c:numRef>
              <c:f>'OK Bazaars'!$E$49:$H$49</c:f>
              <c:numCache>
                <c:formatCode>#,##0</c:formatCode>
                <c:ptCount val="4"/>
                <c:pt idx="0">
                  <c:v>142388</c:v>
                </c:pt>
                <c:pt idx="1">
                  <c:v>154687</c:v>
                </c:pt>
                <c:pt idx="2">
                  <c:v>173126</c:v>
                </c:pt>
                <c:pt idx="3">
                  <c:v>181564</c:v>
                </c:pt>
              </c:numCache>
            </c:numRef>
          </c:val>
          <c:extLst>
            <c:ext xmlns:c16="http://schemas.microsoft.com/office/drawing/2014/chart" uri="{C3380CC4-5D6E-409C-BE32-E72D297353CC}">
              <c16:uniqueId val="{00000000-BD0C-4287-80AD-A00664AE2B1F}"/>
            </c:ext>
          </c:extLst>
        </c:ser>
        <c:dLbls>
          <c:showLegendKey val="0"/>
          <c:showVal val="0"/>
          <c:showCatName val="0"/>
          <c:showSerName val="0"/>
          <c:showPercent val="0"/>
          <c:showBubbleSize val="0"/>
        </c:dLbls>
        <c:gapWidth val="150"/>
        <c:axId val="2089509752"/>
        <c:axId val="2089506712"/>
      </c:barChart>
      <c:lineChart>
        <c:grouping val="standard"/>
        <c:varyColors val="0"/>
        <c:ser>
          <c:idx val="1"/>
          <c:order val="1"/>
          <c:tx>
            <c:strRef>
              <c:f>'OK Bazaars'!$D$50</c:f>
              <c:strCache>
                <c:ptCount val="1"/>
                <c:pt idx="0">
                  <c:v>EBITDA %</c:v>
                </c:pt>
              </c:strCache>
            </c:strRef>
          </c:tx>
          <c:marker>
            <c:symbol val="none"/>
          </c:marker>
          <c:cat>
            <c:strRef>
              <c:f>'OK Bazaars'!$E$48:$H$48</c:f>
              <c:strCache>
                <c:ptCount val="4"/>
                <c:pt idx="0">
                  <c:v>2014/15</c:v>
                </c:pt>
                <c:pt idx="1">
                  <c:v>2015/16</c:v>
                </c:pt>
                <c:pt idx="2">
                  <c:v>2016/17</c:v>
                </c:pt>
                <c:pt idx="3">
                  <c:v>2017/18</c:v>
                </c:pt>
              </c:strCache>
            </c:strRef>
          </c:cat>
          <c:val>
            <c:numRef>
              <c:f>'OK Bazaars'!$E$50:$H$50</c:f>
              <c:numCache>
                <c:formatCode>0%</c:formatCode>
                <c:ptCount val="4"/>
                <c:pt idx="0">
                  <c:v>0.09</c:v>
                </c:pt>
                <c:pt idx="1">
                  <c:v>0.08</c:v>
                </c:pt>
                <c:pt idx="2">
                  <c:v>7.0000000000000007E-2</c:v>
                </c:pt>
                <c:pt idx="3">
                  <c:v>0.11</c:v>
                </c:pt>
              </c:numCache>
            </c:numRef>
          </c:val>
          <c:smooth val="0"/>
          <c:extLst>
            <c:ext xmlns:c16="http://schemas.microsoft.com/office/drawing/2014/chart" uri="{C3380CC4-5D6E-409C-BE32-E72D297353CC}">
              <c16:uniqueId val="{00000001-BD0C-4287-80AD-A00664AE2B1F}"/>
            </c:ext>
          </c:extLst>
        </c:ser>
        <c:ser>
          <c:idx val="2"/>
          <c:order val="2"/>
          <c:tx>
            <c:strRef>
              <c:f>'OK Bazaars'!$D$51</c:f>
              <c:strCache>
                <c:ptCount val="1"/>
                <c:pt idx="0">
                  <c:v>NOPAT%</c:v>
                </c:pt>
              </c:strCache>
            </c:strRef>
          </c:tx>
          <c:marker>
            <c:symbol val="none"/>
          </c:marker>
          <c:cat>
            <c:strRef>
              <c:f>'OK Bazaars'!$E$48:$H$48</c:f>
              <c:strCache>
                <c:ptCount val="4"/>
                <c:pt idx="0">
                  <c:v>2014/15</c:v>
                </c:pt>
                <c:pt idx="1">
                  <c:v>2015/16</c:v>
                </c:pt>
                <c:pt idx="2">
                  <c:v>2016/17</c:v>
                </c:pt>
                <c:pt idx="3">
                  <c:v>2017/18</c:v>
                </c:pt>
              </c:strCache>
            </c:strRef>
          </c:cat>
          <c:val>
            <c:numRef>
              <c:f>'OK Bazaars'!$E$51:$H$51</c:f>
              <c:numCache>
                <c:formatCode>0.00%</c:formatCode>
                <c:ptCount val="4"/>
                <c:pt idx="0">
                  <c:v>5.8000000000000003E-2</c:v>
                </c:pt>
                <c:pt idx="1">
                  <c:v>5.2999999999999999E-2</c:v>
                </c:pt>
                <c:pt idx="2">
                  <c:v>4.9000000000000002E-2</c:v>
                </c:pt>
                <c:pt idx="3">
                  <c:v>7.8E-2</c:v>
                </c:pt>
              </c:numCache>
            </c:numRef>
          </c:val>
          <c:smooth val="0"/>
          <c:extLst>
            <c:ext xmlns:c16="http://schemas.microsoft.com/office/drawing/2014/chart" uri="{C3380CC4-5D6E-409C-BE32-E72D297353CC}">
              <c16:uniqueId val="{00000002-BD0C-4287-80AD-A00664AE2B1F}"/>
            </c:ext>
          </c:extLst>
        </c:ser>
        <c:ser>
          <c:idx val="3"/>
          <c:order val="3"/>
          <c:tx>
            <c:strRef>
              <c:f>'OK Bazaars'!$D$52</c:f>
              <c:strCache>
                <c:ptCount val="1"/>
                <c:pt idx="0">
                  <c:v>ROE</c:v>
                </c:pt>
              </c:strCache>
            </c:strRef>
          </c:tx>
          <c:marker>
            <c:symbol val="none"/>
          </c:marker>
          <c:cat>
            <c:strRef>
              <c:f>'OK Bazaars'!$E$48:$H$48</c:f>
              <c:strCache>
                <c:ptCount val="4"/>
                <c:pt idx="0">
                  <c:v>2014/15</c:v>
                </c:pt>
                <c:pt idx="1">
                  <c:v>2015/16</c:v>
                </c:pt>
                <c:pt idx="2">
                  <c:v>2016/17</c:v>
                </c:pt>
                <c:pt idx="3">
                  <c:v>2017/18</c:v>
                </c:pt>
              </c:strCache>
            </c:strRef>
          </c:cat>
          <c:val>
            <c:numRef>
              <c:f>'OK Bazaars'!$E$52:$H$52</c:f>
              <c:numCache>
                <c:formatCode>0.00%</c:formatCode>
                <c:ptCount val="4"/>
                <c:pt idx="0">
                  <c:v>0.21199999999999999</c:v>
                </c:pt>
                <c:pt idx="1">
                  <c:v>0.19800000000000001</c:v>
                </c:pt>
                <c:pt idx="2">
                  <c:v>0.19500000000000001</c:v>
                </c:pt>
                <c:pt idx="3">
                  <c:v>0.26700000000000002</c:v>
                </c:pt>
              </c:numCache>
            </c:numRef>
          </c:val>
          <c:smooth val="0"/>
          <c:extLst>
            <c:ext xmlns:c16="http://schemas.microsoft.com/office/drawing/2014/chart" uri="{C3380CC4-5D6E-409C-BE32-E72D297353CC}">
              <c16:uniqueId val="{00000003-BD0C-4287-80AD-A00664AE2B1F}"/>
            </c:ext>
          </c:extLst>
        </c:ser>
        <c:ser>
          <c:idx val="4"/>
          <c:order val="4"/>
          <c:tx>
            <c:strRef>
              <c:f>'OK Bazaars'!$D$53</c:f>
              <c:strCache>
                <c:ptCount val="1"/>
                <c:pt idx="0">
                  <c:v>ROA</c:v>
                </c:pt>
              </c:strCache>
            </c:strRef>
          </c:tx>
          <c:marker>
            <c:symbol val="none"/>
          </c:marker>
          <c:cat>
            <c:strRef>
              <c:f>'OK Bazaars'!$E$48:$H$48</c:f>
              <c:strCache>
                <c:ptCount val="4"/>
                <c:pt idx="0">
                  <c:v>2014/15</c:v>
                </c:pt>
                <c:pt idx="1">
                  <c:v>2015/16</c:v>
                </c:pt>
                <c:pt idx="2">
                  <c:v>2016/17</c:v>
                </c:pt>
                <c:pt idx="3">
                  <c:v>2017/18</c:v>
                </c:pt>
              </c:strCache>
            </c:strRef>
          </c:cat>
          <c:val>
            <c:numRef>
              <c:f>'OK Bazaars'!$E$53:$H$53</c:f>
              <c:numCache>
                <c:formatCode>0.00%</c:formatCode>
                <c:ptCount val="4"/>
                <c:pt idx="0">
                  <c:v>0.156</c:v>
                </c:pt>
                <c:pt idx="1">
                  <c:v>0.14000000000000001</c:v>
                </c:pt>
                <c:pt idx="2">
                  <c:v>0.13400000000000001</c:v>
                </c:pt>
                <c:pt idx="3">
                  <c:v>0.14499999999999999</c:v>
                </c:pt>
              </c:numCache>
            </c:numRef>
          </c:val>
          <c:smooth val="0"/>
          <c:extLst>
            <c:ext xmlns:c16="http://schemas.microsoft.com/office/drawing/2014/chart" uri="{C3380CC4-5D6E-409C-BE32-E72D297353CC}">
              <c16:uniqueId val="{00000004-BD0C-4287-80AD-A00664AE2B1F}"/>
            </c:ext>
          </c:extLst>
        </c:ser>
        <c:dLbls>
          <c:showLegendKey val="0"/>
          <c:showVal val="0"/>
          <c:showCatName val="0"/>
          <c:showSerName val="0"/>
          <c:showPercent val="0"/>
          <c:showBubbleSize val="0"/>
        </c:dLbls>
        <c:marker val="1"/>
        <c:smooth val="0"/>
        <c:axId val="2089500520"/>
        <c:axId val="2089503576"/>
      </c:lineChart>
      <c:catAx>
        <c:axId val="2089500520"/>
        <c:scaling>
          <c:orientation val="minMax"/>
        </c:scaling>
        <c:delete val="0"/>
        <c:axPos val="b"/>
        <c:numFmt formatCode="General" sourceLinked="0"/>
        <c:majorTickMark val="out"/>
        <c:minorTickMark val="none"/>
        <c:tickLblPos val="nextTo"/>
        <c:crossAx val="2089503576"/>
        <c:crosses val="autoZero"/>
        <c:auto val="1"/>
        <c:lblAlgn val="ctr"/>
        <c:lblOffset val="100"/>
        <c:noMultiLvlLbl val="0"/>
      </c:catAx>
      <c:valAx>
        <c:axId val="2089503576"/>
        <c:scaling>
          <c:orientation val="minMax"/>
        </c:scaling>
        <c:delete val="0"/>
        <c:axPos val="l"/>
        <c:majorGridlines/>
        <c:numFmt formatCode="0%" sourceLinked="1"/>
        <c:majorTickMark val="out"/>
        <c:minorTickMark val="none"/>
        <c:tickLblPos val="nextTo"/>
        <c:txPr>
          <a:bodyPr/>
          <a:lstStyle/>
          <a:p>
            <a:pPr>
              <a:defRPr sz="900"/>
            </a:pPr>
            <a:endParaRPr lang="en-US"/>
          </a:p>
        </c:txPr>
        <c:crossAx val="2089500520"/>
        <c:crosses val="autoZero"/>
        <c:crossBetween val="between"/>
      </c:valAx>
      <c:valAx>
        <c:axId val="2089506712"/>
        <c:scaling>
          <c:orientation val="minMax"/>
        </c:scaling>
        <c:delete val="0"/>
        <c:axPos val="r"/>
        <c:numFmt formatCode="#,##0" sourceLinked="1"/>
        <c:majorTickMark val="out"/>
        <c:minorTickMark val="none"/>
        <c:tickLblPos val="nextTo"/>
        <c:txPr>
          <a:bodyPr/>
          <a:lstStyle/>
          <a:p>
            <a:pPr>
              <a:defRPr sz="900"/>
            </a:pPr>
            <a:endParaRPr lang="en-US"/>
          </a:p>
        </c:txPr>
        <c:crossAx val="2089509752"/>
        <c:crosses val="max"/>
        <c:crossBetween val="between"/>
      </c:valAx>
      <c:catAx>
        <c:axId val="2089509752"/>
        <c:scaling>
          <c:orientation val="minMax"/>
        </c:scaling>
        <c:delete val="1"/>
        <c:axPos val="b"/>
        <c:numFmt formatCode="General" sourceLinked="1"/>
        <c:majorTickMark val="out"/>
        <c:minorTickMark val="none"/>
        <c:tickLblPos val="nextTo"/>
        <c:crossAx val="2089506712"/>
        <c:crosses val="autoZero"/>
        <c:auto val="1"/>
        <c:lblAlgn val="ctr"/>
        <c:lblOffset val="100"/>
        <c:noMultiLvlLbl val="0"/>
      </c:cat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GB" sz="1000" b="1" i="0" u="none" strike="noStrike" baseline="0">
                <a:effectLst/>
              </a:rPr>
              <a:t>MHG Returns 2014/15 to 2017/18 </a:t>
            </a:r>
            <a:endParaRPr lang="en-US" sz="1000"/>
          </a:p>
        </c:rich>
      </c:tx>
      <c:overlay val="1"/>
    </c:title>
    <c:autoTitleDeleted val="0"/>
    <c:plotArea>
      <c:layout/>
      <c:barChart>
        <c:barDir val="col"/>
        <c:grouping val="clustered"/>
        <c:varyColors val="0"/>
        <c:ser>
          <c:idx val="0"/>
          <c:order val="0"/>
          <c:tx>
            <c:strRef>
              <c:f>'MHG Avani'!$D$50</c:f>
              <c:strCache>
                <c:ptCount val="1"/>
                <c:pt idx="0">
                  <c:v>Total Revenue</c:v>
                </c:pt>
              </c:strCache>
            </c:strRef>
          </c:tx>
          <c:invertIfNegative val="0"/>
          <c:cat>
            <c:strRef>
              <c:f>'MHG Avani'!$E$49:$H$49</c:f>
              <c:strCache>
                <c:ptCount val="4"/>
                <c:pt idx="0">
                  <c:v>2014/15</c:v>
                </c:pt>
                <c:pt idx="1">
                  <c:v>2015/16</c:v>
                </c:pt>
                <c:pt idx="2">
                  <c:v>2016/17</c:v>
                </c:pt>
                <c:pt idx="3">
                  <c:v>2017/18</c:v>
                </c:pt>
              </c:strCache>
            </c:strRef>
          </c:cat>
          <c:val>
            <c:numRef>
              <c:f>'MHG Avani'!$E$50:$H$50</c:f>
              <c:numCache>
                <c:formatCode>#,##0</c:formatCode>
                <c:ptCount val="4"/>
                <c:pt idx="0">
                  <c:v>127031</c:v>
                </c:pt>
                <c:pt idx="1">
                  <c:v>206810</c:v>
                </c:pt>
                <c:pt idx="2">
                  <c:v>137834</c:v>
                </c:pt>
                <c:pt idx="3">
                  <c:v>149203</c:v>
                </c:pt>
              </c:numCache>
            </c:numRef>
          </c:val>
          <c:extLst>
            <c:ext xmlns:c16="http://schemas.microsoft.com/office/drawing/2014/chart" uri="{C3380CC4-5D6E-409C-BE32-E72D297353CC}">
              <c16:uniqueId val="{00000000-33A0-4C30-99B0-1DDF110D9859}"/>
            </c:ext>
          </c:extLst>
        </c:ser>
        <c:dLbls>
          <c:showLegendKey val="0"/>
          <c:showVal val="0"/>
          <c:showCatName val="0"/>
          <c:showSerName val="0"/>
          <c:showPercent val="0"/>
          <c:showBubbleSize val="0"/>
        </c:dLbls>
        <c:gapWidth val="150"/>
        <c:axId val="2120787448"/>
        <c:axId val="2120784408"/>
      </c:barChart>
      <c:lineChart>
        <c:grouping val="standard"/>
        <c:varyColors val="0"/>
        <c:ser>
          <c:idx val="1"/>
          <c:order val="1"/>
          <c:tx>
            <c:strRef>
              <c:f>'MHG Avani'!$D$51</c:f>
              <c:strCache>
                <c:ptCount val="1"/>
                <c:pt idx="0">
                  <c:v>EBITDA %</c:v>
                </c:pt>
              </c:strCache>
            </c:strRef>
          </c:tx>
          <c:marker>
            <c:symbol val="none"/>
          </c:marker>
          <c:cat>
            <c:strRef>
              <c:f>'MHG Avani'!$E$49:$H$49</c:f>
              <c:strCache>
                <c:ptCount val="4"/>
                <c:pt idx="0">
                  <c:v>2014/15</c:v>
                </c:pt>
                <c:pt idx="1">
                  <c:v>2015/16</c:v>
                </c:pt>
                <c:pt idx="2">
                  <c:v>2016/17</c:v>
                </c:pt>
                <c:pt idx="3">
                  <c:v>2017/18</c:v>
                </c:pt>
              </c:strCache>
            </c:strRef>
          </c:cat>
          <c:val>
            <c:numRef>
              <c:f>'MHG Avani'!$E$51:$H$51</c:f>
              <c:numCache>
                <c:formatCode>0%</c:formatCode>
                <c:ptCount val="4"/>
                <c:pt idx="0">
                  <c:v>0.02</c:v>
                </c:pt>
                <c:pt idx="1">
                  <c:v>0.11</c:v>
                </c:pt>
                <c:pt idx="2">
                  <c:v>0.21</c:v>
                </c:pt>
                <c:pt idx="3">
                  <c:v>0.21</c:v>
                </c:pt>
              </c:numCache>
            </c:numRef>
          </c:val>
          <c:smooth val="0"/>
          <c:extLst>
            <c:ext xmlns:c16="http://schemas.microsoft.com/office/drawing/2014/chart" uri="{C3380CC4-5D6E-409C-BE32-E72D297353CC}">
              <c16:uniqueId val="{00000001-33A0-4C30-99B0-1DDF110D9859}"/>
            </c:ext>
          </c:extLst>
        </c:ser>
        <c:ser>
          <c:idx val="2"/>
          <c:order val="2"/>
          <c:tx>
            <c:strRef>
              <c:f>'MHG Avani'!$D$52</c:f>
              <c:strCache>
                <c:ptCount val="1"/>
                <c:pt idx="0">
                  <c:v>NOPAT%</c:v>
                </c:pt>
              </c:strCache>
            </c:strRef>
          </c:tx>
          <c:marker>
            <c:symbol val="none"/>
          </c:marker>
          <c:cat>
            <c:strRef>
              <c:f>'MHG Avani'!$E$49:$H$49</c:f>
              <c:strCache>
                <c:ptCount val="4"/>
                <c:pt idx="0">
                  <c:v>2014/15</c:v>
                </c:pt>
                <c:pt idx="1">
                  <c:v>2015/16</c:v>
                </c:pt>
                <c:pt idx="2">
                  <c:v>2016/17</c:v>
                </c:pt>
                <c:pt idx="3">
                  <c:v>2017/18</c:v>
                </c:pt>
              </c:strCache>
            </c:strRef>
          </c:cat>
          <c:val>
            <c:numRef>
              <c:f>'MHG Avani'!$E$52:$H$52</c:f>
              <c:numCache>
                <c:formatCode>0.00%</c:formatCode>
                <c:ptCount val="4"/>
                <c:pt idx="0">
                  <c:v>1.2E-2</c:v>
                </c:pt>
                <c:pt idx="1">
                  <c:v>7.1999999999999995E-2</c:v>
                </c:pt>
                <c:pt idx="2">
                  <c:v>8.6999999999999994E-2</c:v>
                </c:pt>
                <c:pt idx="3">
                  <c:v>9.2999999999999999E-2</c:v>
                </c:pt>
              </c:numCache>
            </c:numRef>
          </c:val>
          <c:smooth val="0"/>
          <c:extLst>
            <c:ext xmlns:c16="http://schemas.microsoft.com/office/drawing/2014/chart" uri="{C3380CC4-5D6E-409C-BE32-E72D297353CC}">
              <c16:uniqueId val="{00000002-33A0-4C30-99B0-1DDF110D9859}"/>
            </c:ext>
          </c:extLst>
        </c:ser>
        <c:ser>
          <c:idx val="3"/>
          <c:order val="3"/>
          <c:tx>
            <c:strRef>
              <c:f>'MHG Avani'!$D$53</c:f>
              <c:strCache>
                <c:ptCount val="1"/>
                <c:pt idx="0">
                  <c:v>ROE</c:v>
                </c:pt>
              </c:strCache>
            </c:strRef>
          </c:tx>
          <c:marker>
            <c:symbol val="none"/>
          </c:marker>
          <c:cat>
            <c:strRef>
              <c:f>'MHG Avani'!$E$49:$H$49</c:f>
              <c:strCache>
                <c:ptCount val="4"/>
                <c:pt idx="0">
                  <c:v>2014/15</c:v>
                </c:pt>
                <c:pt idx="1">
                  <c:v>2015/16</c:v>
                </c:pt>
                <c:pt idx="2">
                  <c:v>2016/17</c:v>
                </c:pt>
                <c:pt idx="3">
                  <c:v>2017/18</c:v>
                </c:pt>
              </c:strCache>
            </c:strRef>
          </c:cat>
          <c:val>
            <c:numRef>
              <c:f>'MHG Avani'!$E$53:$H$53</c:f>
              <c:numCache>
                <c:formatCode>0.00%</c:formatCode>
                <c:ptCount val="4"/>
                <c:pt idx="0">
                  <c:v>2.1000000000000001E-2</c:v>
                </c:pt>
                <c:pt idx="1">
                  <c:v>0.191</c:v>
                </c:pt>
                <c:pt idx="2">
                  <c:v>0.13300000000000001</c:v>
                </c:pt>
                <c:pt idx="3">
                  <c:v>0.13300000000000001</c:v>
                </c:pt>
              </c:numCache>
            </c:numRef>
          </c:val>
          <c:smooth val="0"/>
          <c:extLst>
            <c:ext xmlns:c16="http://schemas.microsoft.com/office/drawing/2014/chart" uri="{C3380CC4-5D6E-409C-BE32-E72D297353CC}">
              <c16:uniqueId val="{00000003-33A0-4C30-99B0-1DDF110D9859}"/>
            </c:ext>
          </c:extLst>
        </c:ser>
        <c:ser>
          <c:idx val="4"/>
          <c:order val="4"/>
          <c:tx>
            <c:strRef>
              <c:f>'MHG Avani'!$D$54</c:f>
              <c:strCache>
                <c:ptCount val="1"/>
                <c:pt idx="0">
                  <c:v>ROA</c:v>
                </c:pt>
              </c:strCache>
            </c:strRef>
          </c:tx>
          <c:marker>
            <c:symbol val="none"/>
          </c:marker>
          <c:cat>
            <c:strRef>
              <c:f>'MHG Avani'!$E$49:$H$49</c:f>
              <c:strCache>
                <c:ptCount val="4"/>
                <c:pt idx="0">
                  <c:v>2014/15</c:v>
                </c:pt>
                <c:pt idx="1">
                  <c:v>2015/16</c:v>
                </c:pt>
                <c:pt idx="2">
                  <c:v>2016/17</c:v>
                </c:pt>
                <c:pt idx="3">
                  <c:v>2017/18</c:v>
                </c:pt>
              </c:strCache>
            </c:strRef>
          </c:cat>
          <c:val>
            <c:numRef>
              <c:f>'MHG Avani'!$E$54:$H$54</c:f>
              <c:numCache>
                <c:formatCode>0.00%</c:formatCode>
                <c:ptCount val="4"/>
                <c:pt idx="0">
                  <c:v>1.2999999999999999E-2</c:v>
                </c:pt>
                <c:pt idx="1">
                  <c:v>0.123</c:v>
                </c:pt>
                <c:pt idx="2">
                  <c:v>0.09</c:v>
                </c:pt>
                <c:pt idx="3">
                  <c:v>9.5000000000000001E-2</c:v>
                </c:pt>
              </c:numCache>
            </c:numRef>
          </c:val>
          <c:smooth val="0"/>
          <c:extLst>
            <c:ext xmlns:c16="http://schemas.microsoft.com/office/drawing/2014/chart" uri="{C3380CC4-5D6E-409C-BE32-E72D297353CC}">
              <c16:uniqueId val="{00000004-33A0-4C30-99B0-1DDF110D9859}"/>
            </c:ext>
          </c:extLst>
        </c:ser>
        <c:dLbls>
          <c:showLegendKey val="0"/>
          <c:showVal val="0"/>
          <c:showCatName val="0"/>
          <c:showSerName val="0"/>
          <c:showPercent val="0"/>
          <c:showBubbleSize val="0"/>
        </c:dLbls>
        <c:marker val="1"/>
        <c:smooth val="0"/>
        <c:axId val="2120778184"/>
        <c:axId val="2120781272"/>
      </c:lineChart>
      <c:catAx>
        <c:axId val="2120778184"/>
        <c:scaling>
          <c:orientation val="minMax"/>
        </c:scaling>
        <c:delete val="0"/>
        <c:axPos val="b"/>
        <c:numFmt formatCode="General" sourceLinked="0"/>
        <c:majorTickMark val="out"/>
        <c:minorTickMark val="none"/>
        <c:tickLblPos val="nextTo"/>
        <c:txPr>
          <a:bodyPr/>
          <a:lstStyle/>
          <a:p>
            <a:pPr>
              <a:defRPr sz="900"/>
            </a:pPr>
            <a:endParaRPr lang="en-US"/>
          </a:p>
        </c:txPr>
        <c:crossAx val="2120781272"/>
        <c:crosses val="autoZero"/>
        <c:auto val="1"/>
        <c:lblAlgn val="ctr"/>
        <c:lblOffset val="100"/>
        <c:noMultiLvlLbl val="0"/>
      </c:catAx>
      <c:valAx>
        <c:axId val="2120781272"/>
        <c:scaling>
          <c:orientation val="minMax"/>
        </c:scaling>
        <c:delete val="0"/>
        <c:axPos val="l"/>
        <c:majorGridlines/>
        <c:numFmt formatCode="0%" sourceLinked="1"/>
        <c:majorTickMark val="out"/>
        <c:minorTickMark val="none"/>
        <c:tickLblPos val="nextTo"/>
        <c:txPr>
          <a:bodyPr/>
          <a:lstStyle/>
          <a:p>
            <a:pPr>
              <a:defRPr sz="900"/>
            </a:pPr>
            <a:endParaRPr lang="en-US"/>
          </a:p>
        </c:txPr>
        <c:crossAx val="2120778184"/>
        <c:crosses val="autoZero"/>
        <c:crossBetween val="between"/>
      </c:valAx>
      <c:valAx>
        <c:axId val="2120784408"/>
        <c:scaling>
          <c:orientation val="minMax"/>
        </c:scaling>
        <c:delete val="0"/>
        <c:axPos val="r"/>
        <c:numFmt formatCode="#,##0" sourceLinked="1"/>
        <c:majorTickMark val="out"/>
        <c:minorTickMark val="none"/>
        <c:tickLblPos val="nextTo"/>
        <c:txPr>
          <a:bodyPr/>
          <a:lstStyle/>
          <a:p>
            <a:pPr>
              <a:defRPr sz="900"/>
            </a:pPr>
            <a:endParaRPr lang="en-US"/>
          </a:p>
        </c:txPr>
        <c:crossAx val="2120787448"/>
        <c:crosses val="max"/>
        <c:crossBetween val="between"/>
      </c:valAx>
      <c:catAx>
        <c:axId val="2120787448"/>
        <c:scaling>
          <c:orientation val="minMax"/>
        </c:scaling>
        <c:delete val="1"/>
        <c:axPos val="b"/>
        <c:numFmt formatCode="General" sourceLinked="1"/>
        <c:majorTickMark val="out"/>
        <c:minorTickMark val="none"/>
        <c:tickLblPos val="nextTo"/>
        <c:crossAx val="2120784408"/>
        <c:crosses val="autoZero"/>
        <c:auto val="1"/>
        <c:lblAlgn val="ctr"/>
        <c:lblOffset val="100"/>
        <c:noMultiLvlLbl val="0"/>
      </c:cat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MHG Assets v Equity</a:t>
            </a:r>
          </a:p>
        </c:rich>
      </c:tx>
      <c:overlay val="0"/>
    </c:title>
    <c:autoTitleDeleted val="0"/>
    <c:plotArea>
      <c:layout/>
      <c:barChart>
        <c:barDir val="col"/>
        <c:grouping val="clustered"/>
        <c:varyColors val="0"/>
        <c:ser>
          <c:idx val="0"/>
          <c:order val="0"/>
          <c:tx>
            <c:strRef>
              <c:f>'MHG Avani'!$D$71</c:f>
              <c:strCache>
                <c:ptCount val="1"/>
                <c:pt idx="0">
                  <c:v>Total Assets</c:v>
                </c:pt>
              </c:strCache>
            </c:strRef>
          </c:tx>
          <c:invertIfNegative val="0"/>
          <c:cat>
            <c:strRef>
              <c:f>'MHG Avani'!$E$70:$H$70</c:f>
              <c:strCache>
                <c:ptCount val="4"/>
                <c:pt idx="0">
                  <c:v>2014/15</c:v>
                </c:pt>
                <c:pt idx="1">
                  <c:v>2015/16</c:v>
                </c:pt>
                <c:pt idx="2">
                  <c:v>2016/17</c:v>
                </c:pt>
                <c:pt idx="3">
                  <c:v>2017/18</c:v>
                </c:pt>
              </c:strCache>
            </c:strRef>
          </c:cat>
          <c:val>
            <c:numRef>
              <c:f>'MHG Avani'!$E$71:$H$71</c:f>
              <c:numCache>
                <c:formatCode>#,##0</c:formatCode>
                <c:ptCount val="4"/>
                <c:pt idx="0">
                  <c:v>115000</c:v>
                </c:pt>
                <c:pt idx="1">
                  <c:v>121054</c:v>
                </c:pt>
                <c:pt idx="2">
                  <c:v>133336</c:v>
                </c:pt>
                <c:pt idx="3">
                  <c:v>146209</c:v>
                </c:pt>
              </c:numCache>
            </c:numRef>
          </c:val>
          <c:extLst>
            <c:ext xmlns:c16="http://schemas.microsoft.com/office/drawing/2014/chart" uri="{C3380CC4-5D6E-409C-BE32-E72D297353CC}">
              <c16:uniqueId val="{00000000-6331-4C00-96B4-021D362CDF1C}"/>
            </c:ext>
          </c:extLst>
        </c:ser>
        <c:ser>
          <c:idx val="1"/>
          <c:order val="1"/>
          <c:tx>
            <c:strRef>
              <c:f>'MHG Avani'!$D$72</c:f>
              <c:strCache>
                <c:ptCount val="1"/>
                <c:pt idx="0">
                  <c:v>Shareholders' Funds</c:v>
                </c:pt>
              </c:strCache>
            </c:strRef>
          </c:tx>
          <c:invertIfNegative val="0"/>
          <c:cat>
            <c:strRef>
              <c:f>'MHG Avani'!$E$70:$H$70</c:f>
              <c:strCache>
                <c:ptCount val="4"/>
                <c:pt idx="0">
                  <c:v>2014/15</c:v>
                </c:pt>
                <c:pt idx="1">
                  <c:v>2015/16</c:v>
                </c:pt>
                <c:pt idx="2">
                  <c:v>2016/17</c:v>
                </c:pt>
                <c:pt idx="3">
                  <c:v>2017/18</c:v>
                </c:pt>
              </c:strCache>
            </c:strRef>
          </c:cat>
          <c:val>
            <c:numRef>
              <c:f>'MHG Avani'!$E$72:$H$72</c:f>
              <c:numCache>
                <c:formatCode>#,##0</c:formatCode>
                <c:ptCount val="4"/>
                <c:pt idx="0">
                  <c:v>71195</c:v>
                </c:pt>
                <c:pt idx="1">
                  <c:v>78231</c:v>
                </c:pt>
                <c:pt idx="2">
                  <c:v>90183</c:v>
                </c:pt>
                <c:pt idx="3">
                  <c:v>104050</c:v>
                </c:pt>
              </c:numCache>
            </c:numRef>
          </c:val>
          <c:extLst>
            <c:ext xmlns:c16="http://schemas.microsoft.com/office/drawing/2014/chart" uri="{C3380CC4-5D6E-409C-BE32-E72D297353CC}">
              <c16:uniqueId val="{00000001-6331-4C00-96B4-021D362CDF1C}"/>
            </c:ext>
          </c:extLst>
        </c:ser>
        <c:dLbls>
          <c:showLegendKey val="0"/>
          <c:showVal val="0"/>
          <c:showCatName val="0"/>
          <c:showSerName val="0"/>
          <c:showPercent val="0"/>
          <c:showBubbleSize val="0"/>
        </c:dLbls>
        <c:gapWidth val="150"/>
        <c:axId val="2121360440"/>
        <c:axId val="2121363384"/>
      </c:barChart>
      <c:lineChart>
        <c:grouping val="standard"/>
        <c:varyColors val="0"/>
        <c:ser>
          <c:idx val="2"/>
          <c:order val="2"/>
          <c:tx>
            <c:strRef>
              <c:f>'MHG Avani'!$D$73</c:f>
              <c:strCache>
                <c:ptCount val="1"/>
                <c:pt idx="0">
                  <c:v>Equity as % of TA</c:v>
                </c:pt>
              </c:strCache>
            </c:strRef>
          </c:tx>
          <c:marker>
            <c:symbol val="none"/>
          </c:marker>
          <c:cat>
            <c:strRef>
              <c:f>'MHG Avani'!$E$70:$H$70</c:f>
              <c:strCache>
                <c:ptCount val="4"/>
                <c:pt idx="0">
                  <c:v>2014/15</c:v>
                </c:pt>
                <c:pt idx="1">
                  <c:v>2015/16</c:v>
                </c:pt>
                <c:pt idx="2">
                  <c:v>2016/17</c:v>
                </c:pt>
                <c:pt idx="3">
                  <c:v>2017/18</c:v>
                </c:pt>
              </c:strCache>
            </c:strRef>
          </c:cat>
          <c:val>
            <c:numRef>
              <c:f>'MHG Avani'!$E$73:$H$73</c:f>
              <c:numCache>
                <c:formatCode>0.00%</c:formatCode>
                <c:ptCount val="4"/>
                <c:pt idx="0">
                  <c:v>0.61908695652173895</c:v>
                </c:pt>
                <c:pt idx="1">
                  <c:v>0.64624878153551302</c:v>
                </c:pt>
                <c:pt idx="2">
                  <c:v>0.67635897282054303</c:v>
                </c:pt>
                <c:pt idx="3">
                  <c:v>0.71165249745227699</c:v>
                </c:pt>
              </c:numCache>
            </c:numRef>
          </c:val>
          <c:smooth val="0"/>
          <c:extLst>
            <c:ext xmlns:c16="http://schemas.microsoft.com/office/drawing/2014/chart" uri="{C3380CC4-5D6E-409C-BE32-E72D297353CC}">
              <c16:uniqueId val="{00000002-6331-4C00-96B4-021D362CDF1C}"/>
            </c:ext>
          </c:extLst>
        </c:ser>
        <c:dLbls>
          <c:showLegendKey val="0"/>
          <c:showVal val="0"/>
          <c:showCatName val="0"/>
          <c:showSerName val="0"/>
          <c:showPercent val="0"/>
          <c:showBubbleSize val="0"/>
        </c:dLbls>
        <c:marker val="1"/>
        <c:smooth val="0"/>
        <c:axId val="2121369784"/>
        <c:axId val="2121366744"/>
      </c:lineChart>
      <c:catAx>
        <c:axId val="2121360440"/>
        <c:scaling>
          <c:orientation val="minMax"/>
        </c:scaling>
        <c:delete val="0"/>
        <c:axPos val="b"/>
        <c:numFmt formatCode="General" sourceLinked="0"/>
        <c:majorTickMark val="out"/>
        <c:minorTickMark val="none"/>
        <c:tickLblPos val="nextTo"/>
        <c:txPr>
          <a:bodyPr/>
          <a:lstStyle/>
          <a:p>
            <a:pPr>
              <a:defRPr sz="900"/>
            </a:pPr>
            <a:endParaRPr lang="en-US"/>
          </a:p>
        </c:txPr>
        <c:crossAx val="2121363384"/>
        <c:crosses val="autoZero"/>
        <c:auto val="1"/>
        <c:lblAlgn val="ctr"/>
        <c:lblOffset val="100"/>
        <c:noMultiLvlLbl val="0"/>
      </c:catAx>
      <c:valAx>
        <c:axId val="2121363384"/>
        <c:scaling>
          <c:orientation val="minMax"/>
        </c:scaling>
        <c:delete val="0"/>
        <c:axPos val="l"/>
        <c:majorGridlines/>
        <c:numFmt formatCode="#,##0" sourceLinked="1"/>
        <c:majorTickMark val="out"/>
        <c:minorTickMark val="none"/>
        <c:tickLblPos val="nextTo"/>
        <c:txPr>
          <a:bodyPr/>
          <a:lstStyle/>
          <a:p>
            <a:pPr>
              <a:defRPr sz="900"/>
            </a:pPr>
            <a:endParaRPr lang="en-US"/>
          </a:p>
        </c:txPr>
        <c:crossAx val="2121360440"/>
        <c:crosses val="autoZero"/>
        <c:crossBetween val="between"/>
      </c:valAx>
      <c:valAx>
        <c:axId val="2121366744"/>
        <c:scaling>
          <c:orientation val="minMax"/>
        </c:scaling>
        <c:delete val="0"/>
        <c:axPos val="r"/>
        <c:numFmt formatCode="0.00%" sourceLinked="1"/>
        <c:majorTickMark val="out"/>
        <c:minorTickMark val="none"/>
        <c:tickLblPos val="nextTo"/>
        <c:txPr>
          <a:bodyPr/>
          <a:lstStyle/>
          <a:p>
            <a:pPr>
              <a:defRPr sz="900"/>
            </a:pPr>
            <a:endParaRPr lang="en-US"/>
          </a:p>
        </c:txPr>
        <c:crossAx val="2121369784"/>
        <c:crosses val="max"/>
        <c:crossBetween val="between"/>
      </c:valAx>
      <c:catAx>
        <c:axId val="2121369784"/>
        <c:scaling>
          <c:orientation val="minMax"/>
        </c:scaling>
        <c:delete val="1"/>
        <c:axPos val="b"/>
        <c:numFmt formatCode="General" sourceLinked="1"/>
        <c:majorTickMark val="out"/>
        <c:minorTickMark val="none"/>
        <c:tickLblPos val="nextTo"/>
        <c:crossAx val="2121366744"/>
        <c:crosses val="autoZero"/>
        <c:auto val="1"/>
        <c:lblAlgn val="ctr"/>
        <c:lblOffset val="100"/>
        <c:noMultiLvlLbl val="0"/>
      </c:cat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GB" sz="1000" b="1" i="0" u="none" strike="noStrike" baseline="0">
                <a:effectLst/>
              </a:rPr>
              <a:t>Letseng Returns 2014/15 to 2017/18 </a:t>
            </a:r>
            <a:endParaRPr lang="en-US" sz="1000"/>
          </a:p>
        </c:rich>
      </c:tx>
      <c:overlay val="0"/>
    </c:title>
    <c:autoTitleDeleted val="0"/>
    <c:plotArea>
      <c:layout/>
      <c:barChart>
        <c:barDir val="col"/>
        <c:grouping val="clustered"/>
        <c:varyColors val="0"/>
        <c:ser>
          <c:idx val="0"/>
          <c:order val="0"/>
          <c:tx>
            <c:strRef>
              <c:f>Letseng!$D$50</c:f>
              <c:strCache>
                <c:ptCount val="1"/>
                <c:pt idx="0">
                  <c:v>Total Revenue</c:v>
                </c:pt>
              </c:strCache>
            </c:strRef>
          </c:tx>
          <c:invertIfNegative val="0"/>
          <c:cat>
            <c:strRef>
              <c:f>Letseng!$E$49:$H$49</c:f>
              <c:strCache>
                <c:ptCount val="4"/>
                <c:pt idx="0">
                  <c:v>2014/15</c:v>
                </c:pt>
                <c:pt idx="1">
                  <c:v>2015/16</c:v>
                </c:pt>
                <c:pt idx="2">
                  <c:v>2016/17</c:v>
                </c:pt>
                <c:pt idx="3">
                  <c:v>2017/18</c:v>
                </c:pt>
              </c:strCache>
            </c:strRef>
          </c:cat>
          <c:val>
            <c:numRef>
              <c:f>Letseng!$E$50:$H$50</c:f>
              <c:numCache>
                <c:formatCode>#,##0</c:formatCode>
                <c:ptCount val="4"/>
                <c:pt idx="0">
                  <c:v>3075278</c:v>
                </c:pt>
                <c:pt idx="1">
                  <c:v>3157091</c:v>
                </c:pt>
                <c:pt idx="2">
                  <c:v>2753132</c:v>
                </c:pt>
                <c:pt idx="3">
                  <c:v>2716880</c:v>
                </c:pt>
              </c:numCache>
            </c:numRef>
          </c:val>
          <c:extLst>
            <c:ext xmlns:c16="http://schemas.microsoft.com/office/drawing/2014/chart" uri="{C3380CC4-5D6E-409C-BE32-E72D297353CC}">
              <c16:uniqueId val="{00000000-B27B-469B-A042-58FC83787213}"/>
            </c:ext>
          </c:extLst>
        </c:ser>
        <c:dLbls>
          <c:showLegendKey val="0"/>
          <c:showVal val="0"/>
          <c:showCatName val="0"/>
          <c:showSerName val="0"/>
          <c:showPercent val="0"/>
          <c:showBubbleSize val="0"/>
        </c:dLbls>
        <c:gapWidth val="150"/>
        <c:axId val="2089584168"/>
        <c:axId val="2089581128"/>
      </c:barChart>
      <c:lineChart>
        <c:grouping val="standard"/>
        <c:varyColors val="0"/>
        <c:ser>
          <c:idx val="1"/>
          <c:order val="1"/>
          <c:tx>
            <c:strRef>
              <c:f>Letseng!$D$51</c:f>
              <c:strCache>
                <c:ptCount val="1"/>
                <c:pt idx="0">
                  <c:v>EBITDA %</c:v>
                </c:pt>
              </c:strCache>
            </c:strRef>
          </c:tx>
          <c:marker>
            <c:symbol val="none"/>
          </c:marker>
          <c:cat>
            <c:strRef>
              <c:f>Letseng!$E$49:$H$49</c:f>
              <c:strCache>
                <c:ptCount val="4"/>
                <c:pt idx="0">
                  <c:v>2014/15</c:v>
                </c:pt>
                <c:pt idx="1">
                  <c:v>2015/16</c:v>
                </c:pt>
                <c:pt idx="2">
                  <c:v>2016/17</c:v>
                </c:pt>
                <c:pt idx="3">
                  <c:v>2017/18</c:v>
                </c:pt>
              </c:strCache>
            </c:strRef>
          </c:cat>
          <c:val>
            <c:numRef>
              <c:f>Letseng!$E$51:$H$51</c:f>
              <c:numCache>
                <c:formatCode>0%</c:formatCode>
                <c:ptCount val="4"/>
                <c:pt idx="0">
                  <c:v>0.64</c:v>
                </c:pt>
                <c:pt idx="1">
                  <c:v>0.65</c:v>
                </c:pt>
                <c:pt idx="2">
                  <c:v>0.56999999999999995</c:v>
                </c:pt>
                <c:pt idx="3">
                  <c:v>0.6</c:v>
                </c:pt>
              </c:numCache>
            </c:numRef>
          </c:val>
          <c:smooth val="0"/>
          <c:extLst>
            <c:ext xmlns:c16="http://schemas.microsoft.com/office/drawing/2014/chart" uri="{C3380CC4-5D6E-409C-BE32-E72D297353CC}">
              <c16:uniqueId val="{00000001-B27B-469B-A042-58FC83787213}"/>
            </c:ext>
          </c:extLst>
        </c:ser>
        <c:ser>
          <c:idx val="2"/>
          <c:order val="2"/>
          <c:tx>
            <c:strRef>
              <c:f>Letseng!$D$52</c:f>
              <c:strCache>
                <c:ptCount val="1"/>
                <c:pt idx="0">
                  <c:v>NOPAT%</c:v>
                </c:pt>
              </c:strCache>
            </c:strRef>
          </c:tx>
          <c:marker>
            <c:symbol val="none"/>
          </c:marker>
          <c:cat>
            <c:strRef>
              <c:f>Letseng!$E$49:$H$49</c:f>
              <c:strCache>
                <c:ptCount val="4"/>
                <c:pt idx="0">
                  <c:v>2014/15</c:v>
                </c:pt>
                <c:pt idx="1">
                  <c:v>2015/16</c:v>
                </c:pt>
                <c:pt idx="2">
                  <c:v>2016/17</c:v>
                </c:pt>
                <c:pt idx="3">
                  <c:v>2017/18</c:v>
                </c:pt>
              </c:strCache>
            </c:strRef>
          </c:cat>
          <c:val>
            <c:numRef>
              <c:f>Letseng!$E$52:$H$52</c:f>
              <c:numCache>
                <c:formatCode>0.00%</c:formatCode>
                <c:ptCount val="4"/>
                <c:pt idx="0">
                  <c:v>0.32400000000000001</c:v>
                </c:pt>
                <c:pt idx="1">
                  <c:v>0.32600000000000001</c:v>
                </c:pt>
                <c:pt idx="2">
                  <c:v>0.254</c:v>
                </c:pt>
                <c:pt idx="3">
                  <c:v>0.18099999999999999</c:v>
                </c:pt>
              </c:numCache>
            </c:numRef>
          </c:val>
          <c:smooth val="0"/>
          <c:extLst>
            <c:ext xmlns:c16="http://schemas.microsoft.com/office/drawing/2014/chart" uri="{C3380CC4-5D6E-409C-BE32-E72D297353CC}">
              <c16:uniqueId val="{00000002-B27B-469B-A042-58FC83787213}"/>
            </c:ext>
          </c:extLst>
        </c:ser>
        <c:ser>
          <c:idx val="3"/>
          <c:order val="3"/>
          <c:tx>
            <c:strRef>
              <c:f>Letseng!$D$53</c:f>
              <c:strCache>
                <c:ptCount val="1"/>
                <c:pt idx="0">
                  <c:v>ROE</c:v>
                </c:pt>
              </c:strCache>
            </c:strRef>
          </c:tx>
          <c:marker>
            <c:symbol val="none"/>
          </c:marker>
          <c:cat>
            <c:strRef>
              <c:f>Letseng!$E$49:$H$49</c:f>
              <c:strCache>
                <c:ptCount val="4"/>
                <c:pt idx="0">
                  <c:v>2014/15</c:v>
                </c:pt>
                <c:pt idx="1">
                  <c:v>2015/16</c:v>
                </c:pt>
                <c:pt idx="2">
                  <c:v>2016/17</c:v>
                </c:pt>
                <c:pt idx="3">
                  <c:v>2017/18</c:v>
                </c:pt>
              </c:strCache>
            </c:strRef>
          </c:cat>
          <c:val>
            <c:numRef>
              <c:f>Letseng!$E$53:$H$53</c:f>
              <c:numCache>
                <c:formatCode>0.00%</c:formatCode>
                <c:ptCount val="4"/>
                <c:pt idx="0">
                  <c:v>0.58099999999999996</c:v>
                </c:pt>
                <c:pt idx="1">
                  <c:v>0.45700000000000002</c:v>
                </c:pt>
                <c:pt idx="2">
                  <c:v>0.314</c:v>
                </c:pt>
                <c:pt idx="3">
                  <c:v>0.18099999999999999</c:v>
                </c:pt>
              </c:numCache>
            </c:numRef>
          </c:val>
          <c:smooth val="0"/>
          <c:extLst>
            <c:ext xmlns:c16="http://schemas.microsoft.com/office/drawing/2014/chart" uri="{C3380CC4-5D6E-409C-BE32-E72D297353CC}">
              <c16:uniqueId val="{00000003-B27B-469B-A042-58FC83787213}"/>
            </c:ext>
          </c:extLst>
        </c:ser>
        <c:ser>
          <c:idx val="4"/>
          <c:order val="4"/>
          <c:tx>
            <c:strRef>
              <c:f>Letseng!$D$54</c:f>
              <c:strCache>
                <c:ptCount val="1"/>
                <c:pt idx="0">
                  <c:v>ROA</c:v>
                </c:pt>
              </c:strCache>
            </c:strRef>
          </c:tx>
          <c:marker>
            <c:symbol val="none"/>
          </c:marker>
          <c:cat>
            <c:strRef>
              <c:f>Letseng!$E$49:$H$49</c:f>
              <c:strCache>
                <c:ptCount val="4"/>
                <c:pt idx="0">
                  <c:v>2014/15</c:v>
                </c:pt>
                <c:pt idx="1">
                  <c:v>2015/16</c:v>
                </c:pt>
                <c:pt idx="2">
                  <c:v>2016/17</c:v>
                </c:pt>
                <c:pt idx="3">
                  <c:v>2017/18</c:v>
                </c:pt>
              </c:strCache>
            </c:strRef>
          </c:cat>
          <c:val>
            <c:numRef>
              <c:f>Letseng!$E$54:$H$54</c:f>
              <c:numCache>
                <c:formatCode>0.00%</c:formatCode>
                <c:ptCount val="4"/>
                <c:pt idx="0">
                  <c:v>0.33700000000000002</c:v>
                </c:pt>
                <c:pt idx="1">
                  <c:v>0.29799999999999999</c:v>
                </c:pt>
                <c:pt idx="2">
                  <c:v>0.20499999999999999</c:v>
                </c:pt>
                <c:pt idx="3">
                  <c:v>0.12</c:v>
                </c:pt>
              </c:numCache>
            </c:numRef>
          </c:val>
          <c:smooth val="0"/>
          <c:extLst>
            <c:ext xmlns:c16="http://schemas.microsoft.com/office/drawing/2014/chart" uri="{C3380CC4-5D6E-409C-BE32-E72D297353CC}">
              <c16:uniqueId val="{00000004-B27B-469B-A042-58FC83787213}"/>
            </c:ext>
          </c:extLst>
        </c:ser>
        <c:dLbls>
          <c:showLegendKey val="0"/>
          <c:showVal val="0"/>
          <c:showCatName val="0"/>
          <c:showSerName val="0"/>
          <c:showPercent val="0"/>
          <c:showBubbleSize val="0"/>
        </c:dLbls>
        <c:marker val="1"/>
        <c:smooth val="0"/>
        <c:axId val="2089574936"/>
        <c:axId val="2089577992"/>
      </c:lineChart>
      <c:catAx>
        <c:axId val="2089574936"/>
        <c:scaling>
          <c:orientation val="minMax"/>
        </c:scaling>
        <c:delete val="0"/>
        <c:axPos val="b"/>
        <c:numFmt formatCode="General" sourceLinked="0"/>
        <c:majorTickMark val="out"/>
        <c:minorTickMark val="none"/>
        <c:tickLblPos val="nextTo"/>
        <c:crossAx val="2089577992"/>
        <c:crosses val="autoZero"/>
        <c:auto val="1"/>
        <c:lblAlgn val="ctr"/>
        <c:lblOffset val="100"/>
        <c:noMultiLvlLbl val="0"/>
      </c:catAx>
      <c:valAx>
        <c:axId val="2089577992"/>
        <c:scaling>
          <c:orientation val="minMax"/>
        </c:scaling>
        <c:delete val="0"/>
        <c:axPos val="l"/>
        <c:majorGridlines/>
        <c:numFmt formatCode="0%" sourceLinked="1"/>
        <c:majorTickMark val="out"/>
        <c:minorTickMark val="none"/>
        <c:tickLblPos val="nextTo"/>
        <c:txPr>
          <a:bodyPr/>
          <a:lstStyle/>
          <a:p>
            <a:pPr>
              <a:defRPr sz="900"/>
            </a:pPr>
            <a:endParaRPr lang="en-US"/>
          </a:p>
        </c:txPr>
        <c:crossAx val="2089574936"/>
        <c:crosses val="autoZero"/>
        <c:crossBetween val="between"/>
      </c:valAx>
      <c:valAx>
        <c:axId val="2089581128"/>
        <c:scaling>
          <c:orientation val="minMax"/>
        </c:scaling>
        <c:delete val="0"/>
        <c:axPos val="r"/>
        <c:numFmt formatCode="#,##0" sourceLinked="1"/>
        <c:majorTickMark val="out"/>
        <c:minorTickMark val="none"/>
        <c:tickLblPos val="nextTo"/>
        <c:txPr>
          <a:bodyPr/>
          <a:lstStyle/>
          <a:p>
            <a:pPr>
              <a:defRPr sz="900"/>
            </a:pPr>
            <a:endParaRPr lang="en-US"/>
          </a:p>
        </c:txPr>
        <c:crossAx val="2089584168"/>
        <c:crosses val="max"/>
        <c:crossBetween val="between"/>
      </c:valAx>
      <c:catAx>
        <c:axId val="2089584168"/>
        <c:scaling>
          <c:orientation val="minMax"/>
        </c:scaling>
        <c:delete val="1"/>
        <c:axPos val="b"/>
        <c:numFmt formatCode="General" sourceLinked="1"/>
        <c:majorTickMark val="out"/>
        <c:minorTickMark val="none"/>
        <c:tickLblPos val="nextTo"/>
        <c:crossAx val="2089581128"/>
        <c:crosses val="autoZero"/>
        <c:auto val="1"/>
        <c:lblAlgn val="ctr"/>
        <c:lblOffset val="100"/>
        <c:noMultiLvlLbl val="0"/>
      </c:cat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Econet</a:t>
            </a:r>
            <a:r>
              <a:rPr lang="en-US" sz="1000" baseline="0"/>
              <a:t> Equity v Assets</a:t>
            </a:r>
            <a:endParaRPr lang="en-US" sz="1000"/>
          </a:p>
        </c:rich>
      </c:tx>
      <c:overlay val="1"/>
    </c:title>
    <c:autoTitleDeleted val="0"/>
    <c:plotArea>
      <c:layout/>
      <c:barChart>
        <c:barDir val="col"/>
        <c:grouping val="clustered"/>
        <c:varyColors val="0"/>
        <c:ser>
          <c:idx val="0"/>
          <c:order val="0"/>
          <c:tx>
            <c:strRef>
              <c:f>Econet!$D$71</c:f>
              <c:strCache>
                <c:ptCount val="1"/>
                <c:pt idx="0">
                  <c:v>Total Assets</c:v>
                </c:pt>
              </c:strCache>
            </c:strRef>
          </c:tx>
          <c:invertIfNegative val="0"/>
          <c:cat>
            <c:strRef>
              <c:f>Econet!$E$70:$G$70</c:f>
              <c:strCache>
                <c:ptCount val="3"/>
                <c:pt idx="0">
                  <c:v>2014/15</c:v>
                </c:pt>
                <c:pt idx="1">
                  <c:v>2015/16</c:v>
                </c:pt>
                <c:pt idx="2">
                  <c:v>2016/17</c:v>
                </c:pt>
              </c:strCache>
            </c:strRef>
          </c:cat>
          <c:val>
            <c:numRef>
              <c:f>Econet!$E$71:$G$71</c:f>
              <c:numCache>
                <c:formatCode>#,##0</c:formatCode>
                <c:ptCount val="3"/>
                <c:pt idx="0">
                  <c:v>770594</c:v>
                </c:pt>
                <c:pt idx="1">
                  <c:v>888565</c:v>
                </c:pt>
                <c:pt idx="2">
                  <c:v>825047</c:v>
                </c:pt>
              </c:numCache>
            </c:numRef>
          </c:val>
          <c:extLst>
            <c:ext xmlns:c16="http://schemas.microsoft.com/office/drawing/2014/chart" uri="{C3380CC4-5D6E-409C-BE32-E72D297353CC}">
              <c16:uniqueId val="{00000000-B37D-48A9-BCD2-BA6FCF9346D8}"/>
            </c:ext>
          </c:extLst>
        </c:ser>
        <c:ser>
          <c:idx val="1"/>
          <c:order val="1"/>
          <c:tx>
            <c:strRef>
              <c:f>Econet!$D$72</c:f>
              <c:strCache>
                <c:ptCount val="1"/>
                <c:pt idx="0">
                  <c:v>Shareholders' Funds</c:v>
                </c:pt>
              </c:strCache>
            </c:strRef>
          </c:tx>
          <c:invertIfNegative val="0"/>
          <c:cat>
            <c:strRef>
              <c:f>Econet!$E$70:$G$70</c:f>
              <c:strCache>
                <c:ptCount val="3"/>
                <c:pt idx="0">
                  <c:v>2014/15</c:v>
                </c:pt>
                <c:pt idx="1">
                  <c:v>2015/16</c:v>
                </c:pt>
                <c:pt idx="2">
                  <c:v>2016/17</c:v>
                </c:pt>
              </c:strCache>
            </c:strRef>
          </c:cat>
          <c:val>
            <c:numRef>
              <c:f>Econet!$E$72:$G$72</c:f>
              <c:numCache>
                <c:formatCode>#,##0</c:formatCode>
                <c:ptCount val="3"/>
                <c:pt idx="0">
                  <c:v>165657</c:v>
                </c:pt>
                <c:pt idx="1">
                  <c:v>111785</c:v>
                </c:pt>
                <c:pt idx="2">
                  <c:v>82668</c:v>
                </c:pt>
              </c:numCache>
            </c:numRef>
          </c:val>
          <c:extLst>
            <c:ext xmlns:c16="http://schemas.microsoft.com/office/drawing/2014/chart" uri="{C3380CC4-5D6E-409C-BE32-E72D297353CC}">
              <c16:uniqueId val="{00000001-B37D-48A9-BCD2-BA6FCF9346D8}"/>
            </c:ext>
          </c:extLst>
        </c:ser>
        <c:dLbls>
          <c:showLegendKey val="0"/>
          <c:showVal val="0"/>
          <c:showCatName val="0"/>
          <c:showSerName val="0"/>
          <c:showPercent val="0"/>
          <c:showBubbleSize val="0"/>
        </c:dLbls>
        <c:gapWidth val="150"/>
        <c:axId val="2120824632"/>
        <c:axId val="2120827544"/>
      </c:barChart>
      <c:lineChart>
        <c:grouping val="standard"/>
        <c:varyColors val="0"/>
        <c:ser>
          <c:idx val="2"/>
          <c:order val="2"/>
          <c:tx>
            <c:strRef>
              <c:f>Econet!$D$73</c:f>
              <c:strCache>
                <c:ptCount val="1"/>
                <c:pt idx="0">
                  <c:v>Equity as % of TA</c:v>
                </c:pt>
              </c:strCache>
            </c:strRef>
          </c:tx>
          <c:marker>
            <c:symbol val="none"/>
          </c:marker>
          <c:cat>
            <c:strRef>
              <c:f>Econet!$E$70:$G$70</c:f>
              <c:strCache>
                <c:ptCount val="3"/>
                <c:pt idx="0">
                  <c:v>2014/15</c:v>
                </c:pt>
                <c:pt idx="1">
                  <c:v>2015/16</c:v>
                </c:pt>
                <c:pt idx="2">
                  <c:v>2016/17</c:v>
                </c:pt>
              </c:strCache>
            </c:strRef>
          </c:cat>
          <c:val>
            <c:numRef>
              <c:f>Econet!$E$73:$G$73</c:f>
              <c:numCache>
                <c:formatCode>0.00%</c:formatCode>
                <c:ptCount val="3"/>
                <c:pt idx="0">
                  <c:v>0.21497312462853299</c:v>
                </c:pt>
                <c:pt idx="1">
                  <c:v>0.12580396481968101</c:v>
                </c:pt>
                <c:pt idx="2">
                  <c:v>0.100197928118034</c:v>
                </c:pt>
              </c:numCache>
            </c:numRef>
          </c:val>
          <c:smooth val="0"/>
          <c:extLst>
            <c:ext xmlns:c16="http://schemas.microsoft.com/office/drawing/2014/chart" uri="{C3380CC4-5D6E-409C-BE32-E72D297353CC}">
              <c16:uniqueId val="{00000002-B37D-48A9-BCD2-BA6FCF9346D8}"/>
            </c:ext>
          </c:extLst>
        </c:ser>
        <c:dLbls>
          <c:showLegendKey val="0"/>
          <c:showVal val="0"/>
          <c:showCatName val="0"/>
          <c:showSerName val="0"/>
          <c:showPercent val="0"/>
          <c:showBubbleSize val="0"/>
        </c:dLbls>
        <c:marker val="1"/>
        <c:smooth val="0"/>
        <c:axId val="2120833944"/>
        <c:axId val="2120830904"/>
      </c:lineChart>
      <c:catAx>
        <c:axId val="2120824632"/>
        <c:scaling>
          <c:orientation val="minMax"/>
        </c:scaling>
        <c:delete val="0"/>
        <c:axPos val="b"/>
        <c:numFmt formatCode="General" sourceLinked="0"/>
        <c:majorTickMark val="out"/>
        <c:minorTickMark val="none"/>
        <c:tickLblPos val="nextTo"/>
        <c:crossAx val="2120827544"/>
        <c:crosses val="autoZero"/>
        <c:auto val="1"/>
        <c:lblAlgn val="ctr"/>
        <c:lblOffset val="100"/>
        <c:noMultiLvlLbl val="0"/>
      </c:catAx>
      <c:valAx>
        <c:axId val="2120827544"/>
        <c:scaling>
          <c:orientation val="minMax"/>
        </c:scaling>
        <c:delete val="0"/>
        <c:axPos val="l"/>
        <c:majorGridlines/>
        <c:numFmt formatCode="#,##0" sourceLinked="1"/>
        <c:majorTickMark val="out"/>
        <c:minorTickMark val="none"/>
        <c:tickLblPos val="nextTo"/>
        <c:txPr>
          <a:bodyPr/>
          <a:lstStyle/>
          <a:p>
            <a:pPr>
              <a:defRPr sz="900"/>
            </a:pPr>
            <a:endParaRPr lang="en-US"/>
          </a:p>
        </c:txPr>
        <c:crossAx val="2120824632"/>
        <c:crosses val="autoZero"/>
        <c:crossBetween val="between"/>
      </c:valAx>
      <c:valAx>
        <c:axId val="2120830904"/>
        <c:scaling>
          <c:orientation val="minMax"/>
        </c:scaling>
        <c:delete val="0"/>
        <c:axPos val="r"/>
        <c:numFmt formatCode="0.00%" sourceLinked="1"/>
        <c:majorTickMark val="out"/>
        <c:minorTickMark val="none"/>
        <c:tickLblPos val="nextTo"/>
        <c:txPr>
          <a:bodyPr/>
          <a:lstStyle/>
          <a:p>
            <a:pPr>
              <a:defRPr sz="900"/>
            </a:pPr>
            <a:endParaRPr lang="en-US"/>
          </a:p>
        </c:txPr>
        <c:crossAx val="2120833944"/>
        <c:crosses val="max"/>
        <c:crossBetween val="between"/>
      </c:valAx>
      <c:catAx>
        <c:axId val="2120833944"/>
        <c:scaling>
          <c:orientation val="minMax"/>
        </c:scaling>
        <c:delete val="1"/>
        <c:axPos val="b"/>
        <c:numFmt formatCode="General" sourceLinked="1"/>
        <c:majorTickMark val="out"/>
        <c:minorTickMark val="none"/>
        <c:tickLblPos val="nextTo"/>
        <c:crossAx val="2120830904"/>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GB" sz="1000" b="1" i="0" u="none" strike="noStrike" baseline="0">
                <a:effectLst/>
              </a:rPr>
              <a:t>SLB Returns 2014/15 to 2017/18 </a:t>
            </a:r>
            <a:endParaRPr lang="en-US" sz="1000"/>
          </a:p>
        </c:rich>
      </c:tx>
      <c:overlay val="0"/>
    </c:title>
    <c:autoTitleDeleted val="0"/>
    <c:plotArea>
      <c:layout/>
      <c:barChart>
        <c:barDir val="col"/>
        <c:grouping val="clustered"/>
        <c:varyColors val="0"/>
        <c:ser>
          <c:idx val="0"/>
          <c:order val="0"/>
          <c:tx>
            <c:strRef>
              <c:f>SLB!$D$50</c:f>
              <c:strCache>
                <c:ptCount val="1"/>
                <c:pt idx="0">
                  <c:v>Total Revenue</c:v>
                </c:pt>
              </c:strCache>
            </c:strRef>
          </c:tx>
          <c:invertIfNegative val="0"/>
          <c:cat>
            <c:strRef>
              <c:f>SLB!$E$49:$H$49</c:f>
              <c:strCache>
                <c:ptCount val="4"/>
                <c:pt idx="0">
                  <c:v>2014/15</c:v>
                </c:pt>
                <c:pt idx="1">
                  <c:v>2015/16</c:v>
                </c:pt>
                <c:pt idx="2">
                  <c:v>2016/17</c:v>
                </c:pt>
                <c:pt idx="3">
                  <c:v>2017/18</c:v>
                </c:pt>
              </c:strCache>
            </c:strRef>
          </c:cat>
          <c:val>
            <c:numRef>
              <c:f>SLB!$E$50:$H$50</c:f>
              <c:numCache>
                <c:formatCode>#,##0</c:formatCode>
                <c:ptCount val="4"/>
                <c:pt idx="0">
                  <c:v>1008956</c:v>
                </c:pt>
                <c:pt idx="1">
                  <c:v>1099927</c:v>
                </c:pt>
                <c:pt idx="2">
                  <c:v>1240015</c:v>
                </c:pt>
                <c:pt idx="3">
                  <c:v>1227929</c:v>
                </c:pt>
              </c:numCache>
            </c:numRef>
          </c:val>
          <c:extLst>
            <c:ext xmlns:c16="http://schemas.microsoft.com/office/drawing/2014/chart" uri="{C3380CC4-5D6E-409C-BE32-E72D297353CC}">
              <c16:uniqueId val="{00000000-B9D8-4583-B830-D1F0F5DD1D59}"/>
            </c:ext>
          </c:extLst>
        </c:ser>
        <c:dLbls>
          <c:showLegendKey val="0"/>
          <c:showVal val="0"/>
          <c:showCatName val="0"/>
          <c:showSerName val="0"/>
          <c:showPercent val="0"/>
          <c:showBubbleSize val="0"/>
        </c:dLbls>
        <c:gapWidth val="150"/>
        <c:axId val="2120874888"/>
        <c:axId val="2120871848"/>
      </c:barChart>
      <c:lineChart>
        <c:grouping val="standard"/>
        <c:varyColors val="0"/>
        <c:ser>
          <c:idx val="1"/>
          <c:order val="1"/>
          <c:tx>
            <c:strRef>
              <c:f>SLB!$D$51</c:f>
              <c:strCache>
                <c:ptCount val="1"/>
                <c:pt idx="0">
                  <c:v>EBITDA %</c:v>
                </c:pt>
              </c:strCache>
            </c:strRef>
          </c:tx>
          <c:marker>
            <c:symbol val="none"/>
          </c:marker>
          <c:cat>
            <c:strRef>
              <c:f>SLB!$E$49:$H$49</c:f>
              <c:strCache>
                <c:ptCount val="4"/>
                <c:pt idx="0">
                  <c:v>2014/15</c:v>
                </c:pt>
                <c:pt idx="1">
                  <c:v>2015/16</c:v>
                </c:pt>
                <c:pt idx="2">
                  <c:v>2016/17</c:v>
                </c:pt>
                <c:pt idx="3">
                  <c:v>2017/18</c:v>
                </c:pt>
              </c:strCache>
            </c:strRef>
          </c:cat>
          <c:val>
            <c:numRef>
              <c:f>SLB!$E$51:$H$51</c:f>
              <c:numCache>
                <c:formatCode>0%</c:formatCode>
                <c:ptCount val="4"/>
                <c:pt idx="0">
                  <c:v>0.44</c:v>
                </c:pt>
                <c:pt idx="1">
                  <c:v>0.59</c:v>
                </c:pt>
                <c:pt idx="2">
                  <c:v>0.63</c:v>
                </c:pt>
                <c:pt idx="3">
                  <c:v>0.5</c:v>
                </c:pt>
              </c:numCache>
            </c:numRef>
          </c:val>
          <c:smooth val="0"/>
          <c:extLst>
            <c:ext xmlns:c16="http://schemas.microsoft.com/office/drawing/2014/chart" uri="{C3380CC4-5D6E-409C-BE32-E72D297353CC}">
              <c16:uniqueId val="{00000001-B9D8-4583-B830-D1F0F5DD1D59}"/>
            </c:ext>
          </c:extLst>
        </c:ser>
        <c:ser>
          <c:idx val="2"/>
          <c:order val="2"/>
          <c:tx>
            <c:strRef>
              <c:f>SLB!$D$52</c:f>
              <c:strCache>
                <c:ptCount val="1"/>
                <c:pt idx="0">
                  <c:v>NOPAT%</c:v>
                </c:pt>
              </c:strCache>
            </c:strRef>
          </c:tx>
          <c:marker>
            <c:symbol val="none"/>
          </c:marker>
          <c:cat>
            <c:strRef>
              <c:f>SLB!$E$49:$H$49</c:f>
              <c:strCache>
                <c:ptCount val="4"/>
                <c:pt idx="0">
                  <c:v>2014/15</c:v>
                </c:pt>
                <c:pt idx="1">
                  <c:v>2015/16</c:v>
                </c:pt>
                <c:pt idx="2">
                  <c:v>2016/17</c:v>
                </c:pt>
                <c:pt idx="3">
                  <c:v>2017/18</c:v>
                </c:pt>
              </c:strCache>
            </c:strRef>
          </c:cat>
          <c:val>
            <c:numRef>
              <c:f>SLB!$E$52:$H$52</c:f>
              <c:numCache>
                <c:formatCode>0.00%</c:formatCode>
                <c:ptCount val="4"/>
                <c:pt idx="0">
                  <c:v>0.315</c:v>
                </c:pt>
                <c:pt idx="1">
                  <c:v>0.313</c:v>
                </c:pt>
                <c:pt idx="2">
                  <c:v>0.313</c:v>
                </c:pt>
                <c:pt idx="3">
                  <c:v>0.24399999999999999</c:v>
                </c:pt>
              </c:numCache>
            </c:numRef>
          </c:val>
          <c:smooth val="0"/>
          <c:extLst>
            <c:ext xmlns:c16="http://schemas.microsoft.com/office/drawing/2014/chart" uri="{C3380CC4-5D6E-409C-BE32-E72D297353CC}">
              <c16:uniqueId val="{00000002-B9D8-4583-B830-D1F0F5DD1D59}"/>
            </c:ext>
          </c:extLst>
        </c:ser>
        <c:ser>
          <c:idx val="3"/>
          <c:order val="3"/>
          <c:tx>
            <c:strRef>
              <c:f>SLB!$D$53</c:f>
              <c:strCache>
                <c:ptCount val="1"/>
                <c:pt idx="0">
                  <c:v>ROE</c:v>
                </c:pt>
              </c:strCache>
            </c:strRef>
          </c:tx>
          <c:marker>
            <c:symbol val="none"/>
          </c:marker>
          <c:cat>
            <c:strRef>
              <c:f>SLB!$E$49:$H$49</c:f>
              <c:strCache>
                <c:ptCount val="4"/>
                <c:pt idx="0">
                  <c:v>2014/15</c:v>
                </c:pt>
                <c:pt idx="1">
                  <c:v>2015/16</c:v>
                </c:pt>
                <c:pt idx="2">
                  <c:v>2016/17</c:v>
                </c:pt>
                <c:pt idx="3">
                  <c:v>2017/18</c:v>
                </c:pt>
              </c:strCache>
            </c:strRef>
          </c:cat>
          <c:val>
            <c:numRef>
              <c:f>SLB!$E$53:$H$53</c:f>
              <c:numCache>
                <c:formatCode>0.00%</c:formatCode>
                <c:ptCount val="4"/>
                <c:pt idx="0">
                  <c:v>0.41599999999999998</c:v>
                </c:pt>
                <c:pt idx="1">
                  <c:v>0.41399999999999998</c:v>
                </c:pt>
                <c:pt idx="2">
                  <c:v>0.39300000000000002</c:v>
                </c:pt>
                <c:pt idx="3">
                  <c:v>0.23200000000000001</c:v>
                </c:pt>
              </c:numCache>
            </c:numRef>
          </c:val>
          <c:smooth val="0"/>
          <c:extLst>
            <c:ext xmlns:c16="http://schemas.microsoft.com/office/drawing/2014/chart" uri="{C3380CC4-5D6E-409C-BE32-E72D297353CC}">
              <c16:uniqueId val="{00000003-B9D8-4583-B830-D1F0F5DD1D59}"/>
            </c:ext>
          </c:extLst>
        </c:ser>
        <c:ser>
          <c:idx val="4"/>
          <c:order val="4"/>
          <c:tx>
            <c:strRef>
              <c:f>SLB!$D$54</c:f>
              <c:strCache>
                <c:ptCount val="1"/>
                <c:pt idx="0">
                  <c:v>ROA</c:v>
                </c:pt>
              </c:strCache>
            </c:strRef>
          </c:tx>
          <c:marker>
            <c:symbol val="none"/>
          </c:marker>
          <c:cat>
            <c:strRef>
              <c:f>SLB!$E$49:$H$49</c:f>
              <c:strCache>
                <c:ptCount val="4"/>
                <c:pt idx="0">
                  <c:v>2014/15</c:v>
                </c:pt>
                <c:pt idx="1">
                  <c:v>2015/16</c:v>
                </c:pt>
                <c:pt idx="2">
                  <c:v>2016/17</c:v>
                </c:pt>
                <c:pt idx="3">
                  <c:v>2017/18</c:v>
                </c:pt>
              </c:strCache>
            </c:strRef>
          </c:cat>
          <c:val>
            <c:numRef>
              <c:f>SLB!$E$54:$H$54</c:f>
              <c:numCache>
                <c:formatCode>0.00%</c:formatCode>
                <c:ptCount val="4"/>
                <c:pt idx="0">
                  <c:v>4.4999999999999998E-2</c:v>
                </c:pt>
                <c:pt idx="1">
                  <c:v>4.2000000000000003E-2</c:v>
                </c:pt>
                <c:pt idx="2">
                  <c:v>5.7000000000000002E-2</c:v>
                </c:pt>
                <c:pt idx="3">
                  <c:v>3.5000000000000003E-2</c:v>
                </c:pt>
              </c:numCache>
            </c:numRef>
          </c:val>
          <c:smooth val="0"/>
          <c:extLst>
            <c:ext xmlns:c16="http://schemas.microsoft.com/office/drawing/2014/chart" uri="{C3380CC4-5D6E-409C-BE32-E72D297353CC}">
              <c16:uniqueId val="{00000004-B9D8-4583-B830-D1F0F5DD1D59}"/>
            </c:ext>
          </c:extLst>
        </c:ser>
        <c:dLbls>
          <c:showLegendKey val="0"/>
          <c:showVal val="0"/>
          <c:showCatName val="0"/>
          <c:showSerName val="0"/>
          <c:showPercent val="0"/>
          <c:showBubbleSize val="0"/>
        </c:dLbls>
        <c:marker val="1"/>
        <c:smooth val="0"/>
        <c:axId val="2120865656"/>
        <c:axId val="2120868712"/>
      </c:lineChart>
      <c:catAx>
        <c:axId val="2120865656"/>
        <c:scaling>
          <c:orientation val="minMax"/>
        </c:scaling>
        <c:delete val="0"/>
        <c:axPos val="b"/>
        <c:numFmt formatCode="General" sourceLinked="0"/>
        <c:majorTickMark val="out"/>
        <c:minorTickMark val="none"/>
        <c:tickLblPos val="nextTo"/>
        <c:crossAx val="2120868712"/>
        <c:crosses val="autoZero"/>
        <c:auto val="1"/>
        <c:lblAlgn val="ctr"/>
        <c:lblOffset val="100"/>
        <c:noMultiLvlLbl val="0"/>
      </c:catAx>
      <c:valAx>
        <c:axId val="2120868712"/>
        <c:scaling>
          <c:orientation val="minMax"/>
        </c:scaling>
        <c:delete val="0"/>
        <c:axPos val="l"/>
        <c:majorGridlines/>
        <c:numFmt formatCode="0%" sourceLinked="1"/>
        <c:majorTickMark val="out"/>
        <c:minorTickMark val="none"/>
        <c:tickLblPos val="nextTo"/>
        <c:txPr>
          <a:bodyPr/>
          <a:lstStyle/>
          <a:p>
            <a:pPr>
              <a:defRPr sz="900"/>
            </a:pPr>
            <a:endParaRPr lang="en-US"/>
          </a:p>
        </c:txPr>
        <c:crossAx val="2120865656"/>
        <c:crosses val="autoZero"/>
        <c:crossBetween val="between"/>
      </c:valAx>
      <c:valAx>
        <c:axId val="2120871848"/>
        <c:scaling>
          <c:orientation val="minMax"/>
        </c:scaling>
        <c:delete val="0"/>
        <c:axPos val="r"/>
        <c:numFmt formatCode="#,##0" sourceLinked="1"/>
        <c:majorTickMark val="out"/>
        <c:minorTickMark val="none"/>
        <c:tickLblPos val="nextTo"/>
        <c:txPr>
          <a:bodyPr/>
          <a:lstStyle/>
          <a:p>
            <a:pPr>
              <a:defRPr sz="900"/>
            </a:pPr>
            <a:endParaRPr lang="en-US"/>
          </a:p>
        </c:txPr>
        <c:crossAx val="2120874888"/>
        <c:crosses val="max"/>
        <c:crossBetween val="between"/>
      </c:valAx>
      <c:catAx>
        <c:axId val="2120874888"/>
        <c:scaling>
          <c:orientation val="minMax"/>
        </c:scaling>
        <c:delete val="1"/>
        <c:axPos val="b"/>
        <c:numFmt formatCode="General" sourceLinked="1"/>
        <c:majorTickMark val="out"/>
        <c:minorTickMark val="none"/>
        <c:tickLblPos val="nextTo"/>
        <c:crossAx val="2120871848"/>
        <c:crosses val="autoZero"/>
        <c:auto val="1"/>
        <c:lblAlgn val="ctr"/>
        <c:lblOffset val="100"/>
        <c:noMultiLvlLbl val="0"/>
      </c:cat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Total Portfolio Assets and Equity (M'000)</a:t>
            </a:r>
          </a:p>
        </c:rich>
      </c:tx>
      <c:overlay val="0"/>
    </c:title>
    <c:autoTitleDeleted val="0"/>
    <c:plotArea>
      <c:layout/>
      <c:barChart>
        <c:barDir val="col"/>
        <c:grouping val="clustered"/>
        <c:varyColors val="0"/>
        <c:ser>
          <c:idx val="0"/>
          <c:order val="0"/>
          <c:tx>
            <c:strRef>
              <c:f>'Assets and Equity'!$C$5</c:f>
              <c:strCache>
                <c:ptCount val="1"/>
                <c:pt idx="0">
                  <c:v>Total Assets</c:v>
                </c:pt>
              </c:strCache>
            </c:strRef>
          </c:tx>
          <c:invertIfNegative val="0"/>
          <c:cat>
            <c:strRef>
              <c:f>'Assets and Equity'!$D$4:$I$4</c:f>
              <c:strCache>
                <c:ptCount val="6"/>
                <c:pt idx="0">
                  <c:v>2012/13</c:v>
                </c:pt>
                <c:pt idx="1">
                  <c:v>2013/14</c:v>
                </c:pt>
                <c:pt idx="2">
                  <c:v>2014/15</c:v>
                </c:pt>
                <c:pt idx="3">
                  <c:v>2015/16</c:v>
                </c:pt>
                <c:pt idx="4">
                  <c:v>2016/17</c:v>
                </c:pt>
                <c:pt idx="5">
                  <c:v>2017/18</c:v>
                </c:pt>
              </c:strCache>
            </c:strRef>
          </c:cat>
          <c:val>
            <c:numRef>
              <c:f>'Assets and Equity'!$D$5:$I$5</c:f>
              <c:numCache>
                <c:formatCode>#,##0</c:formatCode>
                <c:ptCount val="6"/>
                <c:pt idx="0">
                  <c:v>14027191</c:v>
                </c:pt>
                <c:pt idx="1">
                  <c:v>16287489</c:v>
                </c:pt>
                <c:pt idx="2">
                  <c:v>18834756</c:v>
                </c:pt>
                <c:pt idx="3">
                  <c:v>21212141</c:v>
                </c:pt>
                <c:pt idx="4">
                  <c:v>20938117</c:v>
                </c:pt>
                <c:pt idx="5">
                  <c:v>23768917</c:v>
                </c:pt>
              </c:numCache>
            </c:numRef>
          </c:val>
          <c:extLst>
            <c:ext xmlns:c16="http://schemas.microsoft.com/office/drawing/2014/chart" uri="{C3380CC4-5D6E-409C-BE32-E72D297353CC}">
              <c16:uniqueId val="{00000000-9DF3-4541-9744-410886044F84}"/>
            </c:ext>
          </c:extLst>
        </c:ser>
        <c:ser>
          <c:idx val="1"/>
          <c:order val="1"/>
          <c:tx>
            <c:strRef>
              <c:f>'Assets and Equity'!$C$6</c:f>
              <c:strCache>
                <c:ptCount val="1"/>
                <c:pt idx="0">
                  <c:v>Shareholders' Equity / Net Worth</c:v>
                </c:pt>
              </c:strCache>
            </c:strRef>
          </c:tx>
          <c:invertIfNegative val="0"/>
          <c:cat>
            <c:strRef>
              <c:f>'Assets and Equity'!$D$4:$I$4</c:f>
              <c:strCache>
                <c:ptCount val="6"/>
                <c:pt idx="0">
                  <c:v>2012/13</c:v>
                </c:pt>
                <c:pt idx="1">
                  <c:v>2013/14</c:v>
                </c:pt>
                <c:pt idx="2">
                  <c:v>2014/15</c:v>
                </c:pt>
                <c:pt idx="3">
                  <c:v>2015/16</c:v>
                </c:pt>
                <c:pt idx="4">
                  <c:v>2016/17</c:v>
                </c:pt>
                <c:pt idx="5">
                  <c:v>2017/18</c:v>
                </c:pt>
              </c:strCache>
            </c:strRef>
          </c:cat>
          <c:val>
            <c:numRef>
              <c:f>'Assets and Equity'!$D$6:$I$6</c:f>
              <c:numCache>
                <c:formatCode>#,##0</c:formatCode>
                <c:ptCount val="6"/>
                <c:pt idx="0">
                  <c:v>5604376</c:v>
                </c:pt>
                <c:pt idx="1">
                  <c:v>6078420</c:v>
                </c:pt>
                <c:pt idx="2">
                  <c:v>6494291</c:v>
                </c:pt>
                <c:pt idx="3">
                  <c:v>8032488</c:v>
                </c:pt>
                <c:pt idx="4">
                  <c:v>7727050</c:v>
                </c:pt>
                <c:pt idx="5">
                  <c:v>8897444</c:v>
                </c:pt>
              </c:numCache>
            </c:numRef>
          </c:val>
          <c:extLst>
            <c:ext xmlns:c16="http://schemas.microsoft.com/office/drawing/2014/chart" uri="{C3380CC4-5D6E-409C-BE32-E72D297353CC}">
              <c16:uniqueId val="{00000001-9DF3-4541-9744-410886044F84}"/>
            </c:ext>
          </c:extLst>
        </c:ser>
        <c:dLbls>
          <c:showLegendKey val="0"/>
          <c:showVal val="0"/>
          <c:showCatName val="0"/>
          <c:showSerName val="0"/>
          <c:showPercent val="0"/>
          <c:showBubbleSize val="0"/>
        </c:dLbls>
        <c:gapWidth val="150"/>
        <c:axId val="2120301976"/>
        <c:axId val="2120304984"/>
      </c:barChart>
      <c:catAx>
        <c:axId val="2120301976"/>
        <c:scaling>
          <c:orientation val="minMax"/>
        </c:scaling>
        <c:delete val="0"/>
        <c:axPos val="b"/>
        <c:numFmt formatCode="General" sourceLinked="0"/>
        <c:majorTickMark val="out"/>
        <c:minorTickMark val="none"/>
        <c:tickLblPos val="nextTo"/>
        <c:txPr>
          <a:bodyPr/>
          <a:lstStyle/>
          <a:p>
            <a:pPr>
              <a:defRPr sz="900"/>
            </a:pPr>
            <a:endParaRPr lang="en-US"/>
          </a:p>
        </c:txPr>
        <c:crossAx val="2120304984"/>
        <c:crosses val="autoZero"/>
        <c:auto val="1"/>
        <c:lblAlgn val="ctr"/>
        <c:lblOffset val="100"/>
        <c:noMultiLvlLbl val="0"/>
      </c:catAx>
      <c:valAx>
        <c:axId val="2120304984"/>
        <c:scaling>
          <c:orientation val="minMax"/>
        </c:scaling>
        <c:delete val="0"/>
        <c:axPos val="l"/>
        <c:majorGridlines/>
        <c:numFmt formatCode="#,##0" sourceLinked="1"/>
        <c:majorTickMark val="out"/>
        <c:minorTickMark val="none"/>
        <c:tickLblPos val="nextTo"/>
        <c:txPr>
          <a:bodyPr/>
          <a:lstStyle/>
          <a:p>
            <a:pPr>
              <a:defRPr sz="900"/>
            </a:pPr>
            <a:endParaRPr lang="en-US"/>
          </a:p>
        </c:txPr>
        <c:crossAx val="2120301976"/>
        <c:crosses val="autoZero"/>
        <c:crossBetween val="between"/>
      </c:valAx>
      <c:spPr>
        <a:noFill/>
      </c:spPr>
    </c:plotArea>
    <c:legend>
      <c:legendPos val="b"/>
      <c:overlay val="0"/>
      <c:txPr>
        <a:bodyPr/>
        <a:lstStyle/>
        <a:p>
          <a:pPr>
            <a:defRPr sz="900"/>
          </a:pPr>
          <a:endParaRPr lang="en-US"/>
        </a:p>
      </c:txPr>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Total Portfolio</a:t>
            </a:r>
            <a:r>
              <a:rPr lang="en-US" sz="1000" baseline="0"/>
              <a:t> Returns over 6 years</a:t>
            </a:r>
            <a:endParaRPr lang="en-US" sz="1000"/>
          </a:p>
        </c:rich>
      </c:tx>
      <c:overlay val="0"/>
    </c:title>
    <c:autoTitleDeleted val="0"/>
    <c:plotArea>
      <c:layout/>
      <c:lineChart>
        <c:grouping val="standard"/>
        <c:varyColors val="0"/>
        <c:ser>
          <c:idx val="0"/>
          <c:order val="0"/>
          <c:tx>
            <c:strRef>
              <c:f>'Portfolio Returns'!$C$5</c:f>
              <c:strCache>
                <c:ptCount val="1"/>
                <c:pt idx="0">
                  <c:v>EBITDA %</c:v>
                </c:pt>
              </c:strCache>
            </c:strRef>
          </c:tx>
          <c:marker>
            <c:symbol val="none"/>
          </c:marker>
          <c:cat>
            <c:strRef>
              <c:f>'Portfolio Returns'!$D$4:$I$4</c:f>
              <c:strCache>
                <c:ptCount val="6"/>
                <c:pt idx="0">
                  <c:v>2012/13</c:v>
                </c:pt>
                <c:pt idx="1">
                  <c:v>2013/14</c:v>
                </c:pt>
                <c:pt idx="2">
                  <c:v>2014/15</c:v>
                </c:pt>
                <c:pt idx="3">
                  <c:v>2015/16</c:v>
                </c:pt>
                <c:pt idx="4">
                  <c:v>2016/17</c:v>
                </c:pt>
                <c:pt idx="5">
                  <c:v>2017/18</c:v>
                </c:pt>
              </c:strCache>
            </c:strRef>
          </c:cat>
          <c:val>
            <c:numRef>
              <c:f>'Portfolio Returns'!$D$5:$I$5</c:f>
              <c:numCache>
                <c:formatCode>0%</c:formatCode>
                <c:ptCount val="6"/>
                <c:pt idx="0">
                  <c:v>0.27</c:v>
                </c:pt>
                <c:pt idx="1">
                  <c:v>0.28000000000000003</c:v>
                </c:pt>
                <c:pt idx="2">
                  <c:v>0.33</c:v>
                </c:pt>
                <c:pt idx="3">
                  <c:v>0.34</c:v>
                </c:pt>
                <c:pt idx="4">
                  <c:v>0.33</c:v>
                </c:pt>
                <c:pt idx="5">
                  <c:v>0.38</c:v>
                </c:pt>
              </c:numCache>
            </c:numRef>
          </c:val>
          <c:smooth val="0"/>
          <c:extLst>
            <c:ext xmlns:c16="http://schemas.microsoft.com/office/drawing/2014/chart" uri="{C3380CC4-5D6E-409C-BE32-E72D297353CC}">
              <c16:uniqueId val="{00000000-2B28-4101-9841-E1A1AC35698D}"/>
            </c:ext>
          </c:extLst>
        </c:ser>
        <c:ser>
          <c:idx val="1"/>
          <c:order val="1"/>
          <c:tx>
            <c:strRef>
              <c:f>'Portfolio Returns'!$C$6</c:f>
              <c:strCache>
                <c:ptCount val="1"/>
                <c:pt idx="0">
                  <c:v>NOPAT %</c:v>
                </c:pt>
              </c:strCache>
            </c:strRef>
          </c:tx>
          <c:marker>
            <c:symbol val="none"/>
          </c:marker>
          <c:cat>
            <c:strRef>
              <c:f>'Portfolio Returns'!$D$4:$I$4</c:f>
              <c:strCache>
                <c:ptCount val="6"/>
                <c:pt idx="0">
                  <c:v>2012/13</c:v>
                </c:pt>
                <c:pt idx="1">
                  <c:v>2013/14</c:v>
                </c:pt>
                <c:pt idx="2">
                  <c:v>2014/15</c:v>
                </c:pt>
                <c:pt idx="3">
                  <c:v>2015/16</c:v>
                </c:pt>
                <c:pt idx="4">
                  <c:v>2016/17</c:v>
                </c:pt>
                <c:pt idx="5">
                  <c:v>2017/18</c:v>
                </c:pt>
              </c:strCache>
            </c:strRef>
          </c:cat>
          <c:val>
            <c:numRef>
              <c:f>'Portfolio Returns'!$D$6:$I$6</c:f>
              <c:numCache>
                <c:formatCode>0.0%</c:formatCode>
                <c:ptCount val="6"/>
                <c:pt idx="0">
                  <c:v>0.13200000000000001</c:v>
                </c:pt>
                <c:pt idx="1">
                  <c:v>0.13</c:v>
                </c:pt>
                <c:pt idx="2">
                  <c:v>0.16300000000000001</c:v>
                </c:pt>
                <c:pt idx="3">
                  <c:v>0.154</c:v>
                </c:pt>
                <c:pt idx="4">
                  <c:v>0.13600000000000001</c:v>
                </c:pt>
                <c:pt idx="5">
                  <c:v>0.153</c:v>
                </c:pt>
              </c:numCache>
            </c:numRef>
          </c:val>
          <c:smooth val="0"/>
          <c:extLst>
            <c:ext xmlns:c16="http://schemas.microsoft.com/office/drawing/2014/chart" uri="{C3380CC4-5D6E-409C-BE32-E72D297353CC}">
              <c16:uniqueId val="{00000001-2B28-4101-9841-E1A1AC35698D}"/>
            </c:ext>
          </c:extLst>
        </c:ser>
        <c:ser>
          <c:idx val="2"/>
          <c:order val="2"/>
          <c:tx>
            <c:strRef>
              <c:f>'Portfolio Returns'!$C$7</c:f>
              <c:strCache>
                <c:ptCount val="1"/>
                <c:pt idx="0">
                  <c:v>ROE %</c:v>
                </c:pt>
              </c:strCache>
            </c:strRef>
          </c:tx>
          <c:marker>
            <c:symbol val="none"/>
          </c:marker>
          <c:cat>
            <c:strRef>
              <c:f>'Portfolio Returns'!$D$4:$I$4</c:f>
              <c:strCache>
                <c:ptCount val="6"/>
                <c:pt idx="0">
                  <c:v>2012/13</c:v>
                </c:pt>
                <c:pt idx="1">
                  <c:v>2013/14</c:v>
                </c:pt>
                <c:pt idx="2">
                  <c:v>2014/15</c:v>
                </c:pt>
                <c:pt idx="3">
                  <c:v>2015/16</c:v>
                </c:pt>
                <c:pt idx="4">
                  <c:v>2016/17</c:v>
                </c:pt>
                <c:pt idx="5">
                  <c:v>2017/18</c:v>
                </c:pt>
              </c:strCache>
            </c:strRef>
          </c:cat>
          <c:val>
            <c:numRef>
              <c:f>'Portfolio Returns'!$D$7:$I$7</c:f>
              <c:numCache>
                <c:formatCode>0.0%</c:formatCode>
                <c:ptCount val="6"/>
                <c:pt idx="0">
                  <c:v>0.13</c:v>
                </c:pt>
                <c:pt idx="1">
                  <c:v>0.13300000000000001</c:v>
                </c:pt>
                <c:pt idx="2">
                  <c:v>0.21199999999999999</c:v>
                </c:pt>
                <c:pt idx="3">
                  <c:v>0.17199999999999999</c:v>
                </c:pt>
                <c:pt idx="4">
                  <c:v>0.153</c:v>
                </c:pt>
                <c:pt idx="5">
                  <c:v>0.15</c:v>
                </c:pt>
              </c:numCache>
            </c:numRef>
          </c:val>
          <c:smooth val="0"/>
          <c:extLst>
            <c:ext xmlns:c16="http://schemas.microsoft.com/office/drawing/2014/chart" uri="{C3380CC4-5D6E-409C-BE32-E72D297353CC}">
              <c16:uniqueId val="{00000002-2B28-4101-9841-E1A1AC35698D}"/>
            </c:ext>
          </c:extLst>
        </c:ser>
        <c:ser>
          <c:idx val="3"/>
          <c:order val="3"/>
          <c:tx>
            <c:strRef>
              <c:f>'Portfolio Returns'!$C$8</c:f>
              <c:strCache>
                <c:ptCount val="1"/>
                <c:pt idx="0">
                  <c:v>RoA %</c:v>
                </c:pt>
              </c:strCache>
            </c:strRef>
          </c:tx>
          <c:marker>
            <c:symbol val="none"/>
          </c:marker>
          <c:cat>
            <c:strRef>
              <c:f>'Portfolio Returns'!$D$4:$I$4</c:f>
              <c:strCache>
                <c:ptCount val="6"/>
                <c:pt idx="0">
                  <c:v>2012/13</c:v>
                </c:pt>
                <c:pt idx="1">
                  <c:v>2013/14</c:v>
                </c:pt>
                <c:pt idx="2">
                  <c:v>2014/15</c:v>
                </c:pt>
                <c:pt idx="3">
                  <c:v>2015/16</c:v>
                </c:pt>
                <c:pt idx="4">
                  <c:v>2016/17</c:v>
                </c:pt>
                <c:pt idx="5">
                  <c:v>2017/18</c:v>
                </c:pt>
              </c:strCache>
            </c:strRef>
          </c:cat>
          <c:val>
            <c:numRef>
              <c:f>'Portfolio Returns'!$D$8:$I$8</c:f>
              <c:numCache>
                <c:formatCode>0.0%</c:formatCode>
                <c:ptCount val="6"/>
                <c:pt idx="0">
                  <c:v>5.1999999999999998E-2</c:v>
                </c:pt>
                <c:pt idx="1">
                  <c:v>0.05</c:v>
                </c:pt>
                <c:pt idx="2">
                  <c:v>7.2999999999999995E-2</c:v>
                </c:pt>
                <c:pt idx="3">
                  <c:v>6.5000000000000002E-2</c:v>
                </c:pt>
                <c:pt idx="4">
                  <c:v>5.7000000000000002E-2</c:v>
                </c:pt>
                <c:pt idx="5">
                  <c:v>5.6000000000000001E-2</c:v>
                </c:pt>
              </c:numCache>
            </c:numRef>
          </c:val>
          <c:smooth val="0"/>
          <c:extLst>
            <c:ext xmlns:c16="http://schemas.microsoft.com/office/drawing/2014/chart" uri="{C3380CC4-5D6E-409C-BE32-E72D297353CC}">
              <c16:uniqueId val="{00000003-2B28-4101-9841-E1A1AC35698D}"/>
            </c:ext>
          </c:extLst>
        </c:ser>
        <c:dLbls>
          <c:showLegendKey val="0"/>
          <c:showVal val="0"/>
          <c:showCatName val="0"/>
          <c:showSerName val="0"/>
          <c:showPercent val="0"/>
          <c:showBubbleSize val="0"/>
        </c:dLbls>
        <c:smooth val="0"/>
        <c:axId val="2120330248"/>
        <c:axId val="2120333368"/>
      </c:lineChart>
      <c:catAx>
        <c:axId val="2120330248"/>
        <c:scaling>
          <c:orientation val="minMax"/>
        </c:scaling>
        <c:delete val="0"/>
        <c:axPos val="b"/>
        <c:numFmt formatCode="General" sourceLinked="0"/>
        <c:majorTickMark val="out"/>
        <c:minorTickMark val="none"/>
        <c:tickLblPos val="nextTo"/>
        <c:crossAx val="2120333368"/>
        <c:crosses val="autoZero"/>
        <c:auto val="1"/>
        <c:lblAlgn val="ctr"/>
        <c:lblOffset val="100"/>
        <c:noMultiLvlLbl val="0"/>
      </c:catAx>
      <c:valAx>
        <c:axId val="2120333368"/>
        <c:scaling>
          <c:orientation val="minMax"/>
        </c:scaling>
        <c:delete val="0"/>
        <c:axPos val="l"/>
        <c:majorGridlines/>
        <c:numFmt formatCode="0%" sourceLinked="1"/>
        <c:majorTickMark val="out"/>
        <c:minorTickMark val="none"/>
        <c:tickLblPos val="nextTo"/>
        <c:crossAx val="2120330248"/>
        <c:crosses val="autoZero"/>
        <c:crossBetween val="between"/>
      </c:valAx>
      <c:spPr>
        <a:noFill/>
      </c:spPr>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100% SOE Assets and Equity</a:t>
            </a:r>
          </a:p>
        </c:rich>
      </c:tx>
      <c:overlay val="0"/>
    </c:title>
    <c:autoTitleDeleted val="0"/>
    <c:plotArea>
      <c:layout/>
      <c:barChart>
        <c:barDir val="col"/>
        <c:grouping val="clustered"/>
        <c:varyColors val="0"/>
        <c:ser>
          <c:idx val="0"/>
          <c:order val="0"/>
          <c:tx>
            <c:strRef>
              <c:f>'100% SOEs'!$D$60</c:f>
              <c:strCache>
                <c:ptCount val="1"/>
                <c:pt idx="0">
                  <c:v>Total Assets</c:v>
                </c:pt>
              </c:strCache>
            </c:strRef>
          </c:tx>
          <c:invertIfNegative val="0"/>
          <c:cat>
            <c:strRef>
              <c:f>'100% SOEs'!$E$59:$J$59</c:f>
              <c:strCache>
                <c:ptCount val="6"/>
                <c:pt idx="0">
                  <c:v>2012/13</c:v>
                </c:pt>
                <c:pt idx="1">
                  <c:v>2013/14</c:v>
                </c:pt>
                <c:pt idx="2">
                  <c:v>2014/15</c:v>
                </c:pt>
                <c:pt idx="3">
                  <c:v>2015/16</c:v>
                </c:pt>
                <c:pt idx="4">
                  <c:v>2016/17</c:v>
                </c:pt>
                <c:pt idx="5">
                  <c:v>2017/18</c:v>
                </c:pt>
              </c:strCache>
            </c:strRef>
          </c:cat>
          <c:val>
            <c:numRef>
              <c:f>'100% SOEs'!$E$60:$J$60</c:f>
              <c:numCache>
                <c:formatCode>#,##0</c:formatCode>
                <c:ptCount val="6"/>
                <c:pt idx="0">
                  <c:v>4197339</c:v>
                </c:pt>
                <c:pt idx="1">
                  <c:v>4362839</c:v>
                </c:pt>
                <c:pt idx="2">
                  <c:v>5562622</c:v>
                </c:pt>
                <c:pt idx="3">
                  <c:v>6182161</c:v>
                </c:pt>
                <c:pt idx="4">
                  <c:v>7018127</c:v>
                </c:pt>
                <c:pt idx="5">
                  <c:v>7977019</c:v>
                </c:pt>
              </c:numCache>
            </c:numRef>
          </c:val>
          <c:extLst>
            <c:ext xmlns:c16="http://schemas.microsoft.com/office/drawing/2014/chart" uri="{C3380CC4-5D6E-409C-BE32-E72D297353CC}">
              <c16:uniqueId val="{00000000-BA23-48A1-8673-5901783E8FA6}"/>
            </c:ext>
          </c:extLst>
        </c:ser>
        <c:ser>
          <c:idx val="1"/>
          <c:order val="1"/>
          <c:tx>
            <c:strRef>
              <c:f>'100% SOEs'!$D$61</c:f>
              <c:strCache>
                <c:ptCount val="1"/>
                <c:pt idx="0">
                  <c:v>Shareholders' Equity</c:v>
                </c:pt>
              </c:strCache>
            </c:strRef>
          </c:tx>
          <c:invertIfNegative val="0"/>
          <c:cat>
            <c:strRef>
              <c:f>'100% SOEs'!$E$59:$J$59</c:f>
              <c:strCache>
                <c:ptCount val="6"/>
                <c:pt idx="0">
                  <c:v>2012/13</c:v>
                </c:pt>
                <c:pt idx="1">
                  <c:v>2013/14</c:v>
                </c:pt>
                <c:pt idx="2">
                  <c:v>2014/15</c:v>
                </c:pt>
                <c:pt idx="3">
                  <c:v>2015/16</c:v>
                </c:pt>
                <c:pt idx="4">
                  <c:v>2016/17</c:v>
                </c:pt>
                <c:pt idx="5">
                  <c:v>2017/18</c:v>
                </c:pt>
              </c:strCache>
            </c:strRef>
          </c:cat>
          <c:val>
            <c:numRef>
              <c:f>'100% SOEs'!$E$61:$J$61</c:f>
              <c:numCache>
                <c:formatCode>#,##0</c:formatCode>
                <c:ptCount val="6"/>
                <c:pt idx="0">
                  <c:v>3199345</c:v>
                </c:pt>
                <c:pt idx="1">
                  <c:v>3383240</c:v>
                </c:pt>
                <c:pt idx="2">
                  <c:v>4553375</c:v>
                </c:pt>
                <c:pt idx="3">
                  <c:v>4964574</c:v>
                </c:pt>
                <c:pt idx="4">
                  <c:v>4668943</c:v>
                </c:pt>
                <c:pt idx="5">
                  <c:v>4911046</c:v>
                </c:pt>
              </c:numCache>
            </c:numRef>
          </c:val>
          <c:extLst>
            <c:ext xmlns:c16="http://schemas.microsoft.com/office/drawing/2014/chart" uri="{C3380CC4-5D6E-409C-BE32-E72D297353CC}">
              <c16:uniqueId val="{00000001-BA23-48A1-8673-5901783E8FA6}"/>
            </c:ext>
          </c:extLst>
        </c:ser>
        <c:dLbls>
          <c:showLegendKey val="0"/>
          <c:showVal val="0"/>
          <c:showCatName val="0"/>
          <c:showSerName val="0"/>
          <c:showPercent val="0"/>
          <c:showBubbleSize val="0"/>
        </c:dLbls>
        <c:gapWidth val="150"/>
        <c:axId val="2120357432"/>
        <c:axId val="2120360440"/>
      </c:barChart>
      <c:catAx>
        <c:axId val="2120357432"/>
        <c:scaling>
          <c:orientation val="minMax"/>
        </c:scaling>
        <c:delete val="0"/>
        <c:axPos val="b"/>
        <c:numFmt formatCode="General" sourceLinked="0"/>
        <c:majorTickMark val="out"/>
        <c:minorTickMark val="none"/>
        <c:tickLblPos val="nextTo"/>
        <c:txPr>
          <a:bodyPr/>
          <a:lstStyle/>
          <a:p>
            <a:pPr>
              <a:defRPr sz="900"/>
            </a:pPr>
            <a:endParaRPr lang="en-US"/>
          </a:p>
        </c:txPr>
        <c:crossAx val="2120360440"/>
        <c:crosses val="autoZero"/>
        <c:auto val="1"/>
        <c:lblAlgn val="ctr"/>
        <c:lblOffset val="100"/>
        <c:noMultiLvlLbl val="0"/>
      </c:catAx>
      <c:valAx>
        <c:axId val="2120360440"/>
        <c:scaling>
          <c:orientation val="minMax"/>
        </c:scaling>
        <c:delete val="0"/>
        <c:axPos val="l"/>
        <c:majorGridlines/>
        <c:numFmt formatCode="#,##0" sourceLinked="1"/>
        <c:majorTickMark val="out"/>
        <c:minorTickMark val="none"/>
        <c:tickLblPos val="nextTo"/>
        <c:txPr>
          <a:bodyPr/>
          <a:lstStyle/>
          <a:p>
            <a:pPr>
              <a:defRPr sz="900"/>
            </a:pPr>
            <a:endParaRPr lang="en-US"/>
          </a:p>
        </c:txPr>
        <c:crossAx val="2120357432"/>
        <c:crosses val="autoZero"/>
        <c:crossBetween val="between"/>
      </c:val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100% SOEs: Returns Over 6 Years </a:t>
            </a:r>
          </a:p>
        </c:rich>
      </c:tx>
      <c:overlay val="0"/>
    </c:title>
    <c:autoTitleDeleted val="0"/>
    <c:plotArea>
      <c:layout/>
      <c:barChart>
        <c:barDir val="col"/>
        <c:grouping val="clustered"/>
        <c:varyColors val="0"/>
        <c:ser>
          <c:idx val="0"/>
          <c:order val="0"/>
          <c:tx>
            <c:strRef>
              <c:f>'100% SOEs'!$D$26</c:f>
              <c:strCache>
                <c:ptCount val="1"/>
                <c:pt idx="0">
                  <c:v>Total Revenue</c:v>
                </c:pt>
              </c:strCache>
            </c:strRef>
          </c:tx>
          <c:invertIfNegative val="0"/>
          <c:cat>
            <c:strRef>
              <c:f>'100% SOEs'!$E$25:$J$25</c:f>
              <c:strCache>
                <c:ptCount val="6"/>
                <c:pt idx="0">
                  <c:v>2012/13</c:v>
                </c:pt>
                <c:pt idx="1">
                  <c:v>2013/14</c:v>
                </c:pt>
                <c:pt idx="2">
                  <c:v>2014/15</c:v>
                </c:pt>
                <c:pt idx="3">
                  <c:v>2015/16</c:v>
                </c:pt>
                <c:pt idx="4">
                  <c:v>2016/17</c:v>
                </c:pt>
                <c:pt idx="5">
                  <c:v>2017/18</c:v>
                </c:pt>
              </c:strCache>
            </c:strRef>
          </c:cat>
          <c:val>
            <c:numRef>
              <c:f>'100% SOEs'!$E$26:$J$26</c:f>
              <c:numCache>
                <c:formatCode>#,##0</c:formatCode>
                <c:ptCount val="6"/>
                <c:pt idx="0">
                  <c:v>852751</c:v>
                </c:pt>
                <c:pt idx="1">
                  <c:v>948737</c:v>
                </c:pt>
                <c:pt idx="2">
                  <c:v>1113412</c:v>
                </c:pt>
                <c:pt idx="3">
                  <c:v>1234554</c:v>
                </c:pt>
                <c:pt idx="4">
                  <c:v>1409823</c:v>
                </c:pt>
                <c:pt idx="5">
                  <c:v>1591889</c:v>
                </c:pt>
              </c:numCache>
            </c:numRef>
          </c:val>
          <c:extLst>
            <c:ext xmlns:c16="http://schemas.microsoft.com/office/drawing/2014/chart" uri="{C3380CC4-5D6E-409C-BE32-E72D297353CC}">
              <c16:uniqueId val="{00000000-E66F-4C66-86AE-BE40B157BDA0}"/>
            </c:ext>
          </c:extLst>
        </c:ser>
        <c:dLbls>
          <c:showLegendKey val="0"/>
          <c:showVal val="0"/>
          <c:showCatName val="0"/>
          <c:showSerName val="0"/>
          <c:showPercent val="0"/>
          <c:showBubbleSize val="0"/>
        </c:dLbls>
        <c:gapWidth val="150"/>
        <c:axId val="2120419064"/>
        <c:axId val="2120416024"/>
      </c:barChart>
      <c:lineChart>
        <c:grouping val="standard"/>
        <c:varyColors val="0"/>
        <c:ser>
          <c:idx val="1"/>
          <c:order val="1"/>
          <c:tx>
            <c:strRef>
              <c:f>'100% SOEs'!$D$27</c:f>
              <c:strCache>
                <c:ptCount val="1"/>
                <c:pt idx="0">
                  <c:v>EBITDA %</c:v>
                </c:pt>
              </c:strCache>
            </c:strRef>
          </c:tx>
          <c:marker>
            <c:symbol val="none"/>
          </c:marker>
          <c:cat>
            <c:strRef>
              <c:f>'100% SOEs'!$E$25:$J$25</c:f>
              <c:strCache>
                <c:ptCount val="6"/>
                <c:pt idx="0">
                  <c:v>2012/13</c:v>
                </c:pt>
                <c:pt idx="1">
                  <c:v>2013/14</c:v>
                </c:pt>
                <c:pt idx="2">
                  <c:v>2014/15</c:v>
                </c:pt>
                <c:pt idx="3">
                  <c:v>2015/16</c:v>
                </c:pt>
                <c:pt idx="4">
                  <c:v>2016/17</c:v>
                </c:pt>
                <c:pt idx="5">
                  <c:v>2017/18</c:v>
                </c:pt>
              </c:strCache>
            </c:strRef>
          </c:cat>
          <c:val>
            <c:numRef>
              <c:f>'100% SOEs'!$E$27:$J$27</c:f>
              <c:numCache>
                <c:formatCode>0%</c:formatCode>
                <c:ptCount val="6"/>
                <c:pt idx="0">
                  <c:v>0.14000000000000001</c:v>
                </c:pt>
                <c:pt idx="1">
                  <c:v>0.2</c:v>
                </c:pt>
                <c:pt idx="2">
                  <c:v>0.21</c:v>
                </c:pt>
                <c:pt idx="3">
                  <c:v>0.2</c:v>
                </c:pt>
                <c:pt idx="4">
                  <c:v>0.23</c:v>
                </c:pt>
                <c:pt idx="5">
                  <c:v>0.26</c:v>
                </c:pt>
              </c:numCache>
            </c:numRef>
          </c:val>
          <c:smooth val="0"/>
          <c:extLst>
            <c:ext xmlns:c16="http://schemas.microsoft.com/office/drawing/2014/chart" uri="{C3380CC4-5D6E-409C-BE32-E72D297353CC}">
              <c16:uniqueId val="{00000001-E66F-4C66-86AE-BE40B157BDA0}"/>
            </c:ext>
          </c:extLst>
        </c:ser>
        <c:ser>
          <c:idx val="2"/>
          <c:order val="2"/>
          <c:tx>
            <c:strRef>
              <c:f>'100% SOEs'!$D$28</c:f>
              <c:strCache>
                <c:ptCount val="1"/>
                <c:pt idx="0">
                  <c:v>NOPT %</c:v>
                </c:pt>
              </c:strCache>
            </c:strRef>
          </c:tx>
          <c:marker>
            <c:symbol val="none"/>
          </c:marker>
          <c:cat>
            <c:strRef>
              <c:f>'100% SOEs'!$E$25:$J$25</c:f>
              <c:strCache>
                <c:ptCount val="6"/>
                <c:pt idx="0">
                  <c:v>2012/13</c:v>
                </c:pt>
                <c:pt idx="1">
                  <c:v>2013/14</c:v>
                </c:pt>
                <c:pt idx="2">
                  <c:v>2014/15</c:v>
                </c:pt>
                <c:pt idx="3">
                  <c:v>2015/16</c:v>
                </c:pt>
                <c:pt idx="4">
                  <c:v>2016/17</c:v>
                </c:pt>
                <c:pt idx="5">
                  <c:v>2017/18</c:v>
                </c:pt>
              </c:strCache>
            </c:strRef>
          </c:cat>
          <c:val>
            <c:numRef>
              <c:f>'100% SOEs'!$E$28:$J$28</c:f>
              <c:numCache>
                <c:formatCode>0.00%</c:formatCode>
                <c:ptCount val="6"/>
                <c:pt idx="0">
                  <c:v>1.7500000000000002E-2</c:v>
                </c:pt>
                <c:pt idx="1">
                  <c:v>3.5999999999999997E-2</c:v>
                </c:pt>
                <c:pt idx="2">
                  <c:v>0.08</c:v>
                </c:pt>
                <c:pt idx="3">
                  <c:v>8.5999999999999993E-2</c:v>
                </c:pt>
                <c:pt idx="4">
                  <c:v>0.106</c:v>
                </c:pt>
                <c:pt idx="5">
                  <c:v>0.123</c:v>
                </c:pt>
              </c:numCache>
            </c:numRef>
          </c:val>
          <c:smooth val="0"/>
          <c:extLst>
            <c:ext xmlns:c16="http://schemas.microsoft.com/office/drawing/2014/chart" uri="{C3380CC4-5D6E-409C-BE32-E72D297353CC}">
              <c16:uniqueId val="{00000002-E66F-4C66-86AE-BE40B157BDA0}"/>
            </c:ext>
          </c:extLst>
        </c:ser>
        <c:ser>
          <c:idx val="3"/>
          <c:order val="3"/>
          <c:tx>
            <c:strRef>
              <c:f>'100% SOEs'!$D$29</c:f>
              <c:strCache>
                <c:ptCount val="1"/>
                <c:pt idx="0">
                  <c:v>ROE %</c:v>
                </c:pt>
              </c:strCache>
            </c:strRef>
          </c:tx>
          <c:marker>
            <c:symbol val="none"/>
          </c:marker>
          <c:cat>
            <c:strRef>
              <c:f>'100% SOEs'!$E$25:$J$25</c:f>
              <c:strCache>
                <c:ptCount val="6"/>
                <c:pt idx="0">
                  <c:v>2012/13</c:v>
                </c:pt>
                <c:pt idx="1">
                  <c:v>2013/14</c:v>
                </c:pt>
                <c:pt idx="2">
                  <c:v>2014/15</c:v>
                </c:pt>
                <c:pt idx="3">
                  <c:v>2015/16</c:v>
                </c:pt>
                <c:pt idx="4">
                  <c:v>2016/17</c:v>
                </c:pt>
                <c:pt idx="5">
                  <c:v>2017/18</c:v>
                </c:pt>
              </c:strCache>
            </c:strRef>
          </c:cat>
          <c:val>
            <c:numRef>
              <c:f>'100% SOEs'!$E$29:$J$29</c:f>
              <c:numCache>
                <c:formatCode>0.00%</c:formatCode>
                <c:ptCount val="6"/>
                <c:pt idx="0">
                  <c:v>4.0000000000000001E-3</c:v>
                </c:pt>
                <c:pt idx="1">
                  <c:v>0.01</c:v>
                </c:pt>
                <c:pt idx="2">
                  <c:v>0.02</c:v>
                </c:pt>
                <c:pt idx="3">
                  <c:v>2.1000000000000001E-2</c:v>
                </c:pt>
                <c:pt idx="4">
                  <c:v>3.2000000000000001E-2</c:v>
                </c:pt>
                <c:pt idx="5">
                  <c:v>0.04</c:v>
                </c:pt>
              </c:numCache>
            </c:numRef>
          </c:val>
          <c:smooth val="0"/>
          <c:extLst>
            <c:ext xmlns:c16="http://schemas.microsoft.com/office/drawing/2014/chart" uri="{C3380CC4-5D6E-409C-BE32-E72D297353CC}">
              <c16:uniqueId val="{00000003-E66F-4C66-86AE-BE40B157BDA0}"/>
            </c:ext>
          </c:extLst>
        </c:ser>
        <c:ser>
          <c:idx val="4"/>
          <c:order val="4"/>
          <c:tx>
            <c:strRef>
              <c:f>'100% SOEs'!$D$30</c:f>
              <c:strCache>
                <c:ptCount val="1"/>
                <c:pt idx="0">
                  <c:v>ROA%</c:v>
                </c:pt>
              </c:strCache>
            </c:strRef>
          </c:tx>
          <c:marker>
            <c:symbol val="none"/>
          </c:marker>
          <c:cat>
            <c:strRef>
              <c:f>'100% SOEs'!$E$25:$J$25</c:f>
              <c:strCache>
                <c:ptCount val="6"/>
                <c:pt idx="0">
                  <c:v>2012/13</c:v>
                </c:pt>
                <c:pt idx="1">
                  <c:v>2013/14</c:v>
                </c:pt>
                <c:pt idx="2">
                  <c:v>2014/15</c:v>
                </c:pt>
                <c:pt idx="3">
                  <c:v>2015/16</c:v>
                </c:pt>
                <c:pt idx="4">
                  <c:v>2016/17</c:v>
                </c:pt>
                <c:pt idx="5">
                  <c:v>2017/18</c:v>
                </c:pt>
              </c:strCache>
            </c:strRef>
          </c:cat>
          <c:val>
            <c:numRef>
              <c:f>'100% SOEs'!$E$30:$J$30</c:f>
              <c:numCache>
                <c:formatCode>0.00%</c:formatCode>
                <c:ptCount val="6"/>
                <c:pt idx="0">
                  <c:v>3.0000000000000001E-3</c:v>
                </c:pt>
                <c:pt idx="1">
                  <c:v>8.0000000000000002E-3</c:v>
                </c:pt>
                <c:pt idx="2">
                  <c:v>1.6E-2</c:v>
                </c:pt>
                <c:pt idx="3">
                  <c:v>1.7000000000000001E-2</c:v>
                </c:pt>
                <c:pt idx="4">
                  <c:v>2.1000000000000001E-2</c:v>
                </c:pt>
                <c:pt idx="5">
                  <c:v>2.5000000000000001E-2</c:v>
                </c:pt>
              </c:numCache>
            </c:numRef>
          </c:val>
          <c:smooth val="0"/>
          <c:extLst>
            <c:ext xmlns:c16="http://schemas.microsoft.com/office/drawing/2014/chart" uri="{C3380CC4-5D6E-409C-BE32-E72D297353CC}">
              <c16:uniqueId val="{00000004-E66F-4C66-86AE-BE40B157BDA0}"/>
            </c:ext>
          </c:extLst>
        </c:ser>
        <c:dLbls>
          <c:showLegendKey val="0"/>
          <c:showVal val="0"/>
          <c:showCatName val="0"/>
          <c:showSerName val="0"/>
          <c:showPercent val="0"/>
          <c:showBubbleSize val="0"/>
        </c:dLbls>
        <c:marker val="1"/>
        <c:smooth val="0"/>
        <c:axId val="2120409800"/>
        <c:axId val="2120412888"/>
      </c:lineChart>
      <c:catAx>
        <c:axId val="2120409800"/>
        <c:scaling>
          <c:orientation val="minMax"/>
        </c:scaling>
        <c:delete val="0"/>
        <c:axPos val="b"/>
        <c:numFmt formatCode="General" sourceLinked="0"/>
        <c:majorTickMark val="out"/>
        <c:minorTickMark val="none"/>
        <c:tickLblPos val="nextTo"/>
        <c:txPr>
          <a:bodyPr/>
          <a:lstStyle/>
          <a:p>
            <a:pPr>
              <a:defRPr sz="900"/>
            </a:pPr>
            <a:endParaRPr lang="en-US"/>
          </a:p>
        </c:txPr>
        <c:crossAx val="2120412888"/>
        <c:crosses val="autoZero"/>
        <c:auto val="1"/>
        <c:lblAlgn val="ctr"/>
        <c:lblOffset val="100"/>
        <c:noMultiLvlLbl val="0"/>
      </c:catAx>
      <c:valAx>
        <c:axId val="2120412888"/>
        <c:scaling>
          <c:orientation val="minMax"/>
        </c:scaling>
        <c:delete val="0"/>
        <c:axPos val="l"/>
        <c:majorGridlines/>
        <c:numFmt formatCode="0%" sourceLinked="1"/>
        <c:majorTickMark val="out"/>
        <c:minorTickMark val="none"/>
        <c:tickLblPos val="nextTo"/>
        <c:txPr>
          <a:bodyPr/>
          <a:lstStyle/>
          <a:p>
            <a:pPr>
              <a:defRPr sz="900"/>
            </a:pPr>
            <a:endParaRPr lang="en-US"/>
          </a:p>
        </c:txPr>
        <c:crossAx val="2120409800"/>
        <c:crosses val="autoZero"/>
        <c:crossBetween val="between"/>
      </c:valAx>
      <c:valAx>
        <c:axId val="2120416024"/>
        <c:scaling>
          <c:orientation val="minMax"/>
        </c:scaling>
        <c:delete val="0"/>
        <c:axPos val="r"/>
        <c:numFmt formatCode="#,##0" sourceLinked="1"/>
        <c:majorTickMark val="out"/>
        <c:minorTickMark val="none"/>
        <c:tickLblPos val="nextTo"/>
        <c:txPr>
          <a:bodyPr/>
          <a:lstStyle/>
          <a:p>
            <a:pPr>
              <a:defRPr sz="900"/>
            </a:pPr>
            <a:endParaRPr lang="en-US"/>
          </a:p>
        </c:txPr>
        <c:crossAx val="2120419064"/>
        <c:crosses val="max"/>
        <c:crossBetween val="between"/>
      </c:valAx>
      <c:catAx>
        <c:axId val="2120419064"/>
        <c:scaling>
          <c:orientation val="minMax"/>
        </c:scaling>
        <c:delete val="1"/>
        <c:axPos val="b"/>
        <c:numFmt formatCode="General" sourceLinked="1"/>
        <c:majorTickMark val="out"/>
        <c:minorTickMark val="none"/>
        <c:tickLblPos val="nextTo"/>
        <c:crossAx val="2120416024"/>
        <c:crosses val="autoZero"/>
        <c:auto val="1"/>
        <c:lblAlgn val="ctr"/>
        <c:lblOffset val="100"/>
        <c:noMultiLvlLbl val="0"/>
      </c:cat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Other SOEs: Returns Over 6 Years </a:t>
            </a:r>
          </a:p>
        </c:rich>
      </c:tx>
      <c:overlay val="0"/>
    </c:title>
    <c:autoTitleDeleted val="0"/>
    <c:plotArea>
      <c:layout/>
      <c:barChart>
        <c:barDir val="col"/>
        <c:grouping val="clustered"/>
        <c:varyColors val="0"/>
        <c:ser>
          <c:idx val="0"/>
          <c:order val="0"/>
          <c:tx>
            <c:strRef>
              <c:f>'Other SOEs'!$D$27</c:f>
              <c:strCache>
                <c:ptCount val="1"/>
                <c:pt idx="0">
                  <c:v>Total Revenue</c:v>
                </c:pt>
              </c:strCache>
            </c:strRef>
          </c:tx>
          <c:invertIfNegative val="0"/>
          <c:cat>
            <c:strRef>
              <c:f>'Other SOEs'!$E$26:$J$26</c:f>
              <c:strCache>
                <c:ptCount val="6"/>
                <c:pt idx="0">
                  <c:v>2012/13</c:v>
                </c:pt>
                <c:pt idx="1">
                  <c:v>2013/14</c:v>
                </c:pt>
                <c:pt idx="2">
                  <c:v>2014/15</c:v>
                </c:pt>
                <c:pt idx="3">
                  <c:v>2015/16</c:v>
                </c:pt>
                <c:pt idx="4">
                  <c:v>2016/17</c:v>
                </c:pt>
                <c:pt idx="5">
                  <c:v>2017/18</c:v>
                </c:pt>
              </c:strCache>
            </c:strRef>
          </c:cat>
          <c:val>
            <c:numRef>
              <c:f>'Other SOEs'!$E$27:$J$27</c:f>
              <c:numCache>
                <c:formatCode>#,##0</c:formatCode>
                <c:ptCount val="6"/>
                <c:pt idx="0">
                  <c:v>905682</c:v>
                </c:pt>
                <c:pt idx="1">
                  <c:v>943080</c:v>
                </c:pt>
                <c:pt idx="2">
                  <c:v>1034128</c:v>
                </c:pt>
                <c:pt idx="3">
                  <c:v>1225037</c:v>
                </c:pt>
                <c:pt idx="4">
                  <c:v>1043905</c:v>
                </c:pt>
                <c:pt idx="5">
                  <c:v>1344156</c:v>
                </c:pt>
              </c:numCache>
            </c:numRef>
          </c:val>
          <c:extLst>
            <c:ext xmlns:c16="http://schemas.microsoft.com/office/drawing/2014/chart" uri="{C3380CC4-5D6E-409C-BE32-E72D297353CC}">
              <c16:uniqueId val="{00000000-E098-4BA6-A697-7B4DA5E0EDCA}"/>
            </c:ext>
          </c:extLst>
        </c:ser>
        <c:dLbls>
          <c:showLegendKey val="0"/>
          <c:showVal val="0"/>
          <c:showCatName val="0"/>
          <c:showSerName val="0"/>
          <c:showPercent val="0"/>
          <c:showBubbleSize val="0"/>
        </c:dLbls>
        <c:gapWidth val="150"/>
        <c:axId val="2119895336"/>
        <c:axId val="2119346360"/>
      </c:barChart>
      <c:lineChart>
        <c:grouping val="standard"/>
        <c:varyColors val="0"/>
        <c:ser>
          <c:idx val="1"/>
          <c:order val="1"/>
          <c:tx>
            <c:strRef>
              <c:f>'Other SOEs'!$D$28</c:f>
              <c:strCache>
                <c:ptCount val="1"/>
                <c:pt idx="0">
                  <c:v>EBITDA %</c:v>
                </c:pt>
              </c:strCache>
            </c:strRef>
          </c:tx>
          <c:marker>
            <c:symbol val="none"/>
          </c:marker>
          <c:cat>
            <c:strRef>
              <c:f>'Other SOEs'!$E$26:$J$26</c:f>
              <c:strCache>
                <c:ptCount val="6"/>
                <c:pt idx="0">
                  <c:v>2012/13</c:v>
                </c:pt>
                <c:pt idx="1">
                  <c:v>2013/14</c:v>
                </c:pt>
                <c:pt idx="2">
                  <c:v>2014/15</c:v>
                </c:pt>
                <c:pt idx="3">
                  <c:v>2015/16</c:v>
                </c:pt>
                <c:pt idx="4">
                  <c:v>2016/17</c:v>
                </c:pt>
                <c:pt idx="5">
                  <c:v>2017/18</c:v>
                </c:pt>
              </c:strCache>
            </c:strRef>
          </c:cat>
          <c:val>
            <c:numRef>
              <c:f>'Other SOEs'!$E$28:$J$28</c:f>
              <c:numCache>
                <c:formatCode>0%</c:formatCode>
                <c:ptCount val="6"/>
                <c:pt idx="0">
                  <c:v>0.16</c:v>
                </c:pt>
                <c:pt idx="1">
                  <c:v>0.12</c:v>
                </c:pt>
                <c:pt idx="2">
                  <c:v>0.13</c:v>
                </c:pt>
                <c:pt idx="3">
                  <c:v>0.14000000000000001</c:v>
                </c:pt>
                <c:pt idx="4">
                  <c:v>0.16</c:v>
                </c:pt>
                <c:pt idx="5">
                  <c:v>0.15</c:v>
                </c:pt>
              </c:numCache>
            </c:numRef>
          </c:val>
          <c:smooth val="0"/>
          <c:extLst>
            <c:ext xmlns:c16="http://schemas.microsoft.com/office/drawing/2014/chart" uri="{C3380CC4-5D6E-409C-BE32-E72D297353CC}">
              <c16:uniqueId val="{00000001-E098-4BA6-A697-7B4DA5E0EDCA}"/>
            </c:ext>
          </c:extLst>
        </c:ser>
        <c:ser>
          <c:idx val="2"/>
          <c:order val="2"/>
          <c:tx>
            <c:strRef>
              <c:f>'Other SOEs'!$D$29</c:f>
              <c:strCache>
                <c:ptCount val="1"/>
                <c:pt idx="0">
                  <c:v>NOPT %</c:v>
                </c:pt>
              </c:strCache>
            </c:strRef>
          </c:tx>
          <c:marker>
            <c:symbol val="none"/>
          </c:marker>
          <c:cat>
            <c:strRef>
              <c:f>'Other SOEs'!$E$26:$J$26</c:f>
              <c:strCache>
                <c:ptCount val="6"/>
                <c:pt idx="0">
                  <c:v>2012/13</c:v>
                </c:pt>
                <c:pt idx="1">
                  <c:v>2013/14</c:v>
                </c:pt>
                <c:pt idx="2">
                  <c:v>2014/15</c:v>
                </c:pt>
                <c:pt idx="3">
                  <c:v>2015/16</c:v>
                </c:pt>
                <c:pt idx="4">
                  <c:v>2016/17</c:v>
                </c:pt>
                <c:pt idx="5">
                  <c:v>2017/18</c:v>
                </c:pt>
              </c:strCache>
            </c:strRef>
          </c:cat>
          <c:val>
            <c:numRef>
              <c:f>'Other SOEs'!$E$29:$J$29</c:f>
              <c:numCache>
                <c:formatCode>0.00%</c:formatCode>
                <c:ptCount val="6"/>
                <c:pt idx="0">
                  <c:v>0.12</c:v>
                </c:pt>
                <c:pt idx="1">
                  <c:v>9.4E-2</c:v>
                </c:pt>
                <c:pt idx="2">
                  <c:v>9.4E-2</c:v>
                </c:pt>
                <c:pt idx="3">
                  <c:v>0.106</c:v>
                </c:pt>
                <c:pt idx="4">
                  <c:v>0.12</c:v>
                </c:pt>
                <c:pt idx="5">
                  <c:v>0.112</c:v>
                </c:pt>
              </c:numCache>
            </c:numRef>
          </c:val>
          <c:smooth val="0"/>
          <c:extLst>
            <c:ext xmlns:c16="http://schemas.microsoft.com/office/drawing/2014/chart" uri="{C3380CC4-5D6E-409C-BE32-E72D297353CC}">
              <c16:uniqueId val="{00000002-E098-4BA6-A697-7B4DA5E0EDCA}"/>
            </c:ext>
          </c:extLst>
        </c:ser>
        <c:ser>
          <c:idx val="3"/>
          <c:order val="3"/>
          <c:tx>
            <c:strRef>
              <c:f>'Other SOEs'!$D$30</c:f>
              <c:strCache>
                <c:ptCount val="1"/>
                <c:pt idx="0">
                  <c:v>ROE %</c:v>
                </c:pt>
              </c:strCache>
            </c:strRef>
          </c:tx>
          <c:marker>
            <c:symbol val="none"/>
          </c:marker>
          <c:cat>
            <c:strRef>
              <c:f>'Other SOEs'!$E$26:$J$26</c:f>
              <c:strCache>
                <c:ptCount val="6"/>
                <c:pt idx="0">
                  <c:v>2012/13</c:v>
                </c:pt>
                <c:pt idx="1">
                  <c:v>2013/14</c:v>
                </c:pt>
                <c:pt idx="2">
                  <c:v>2014/15</c:v>
                </c:pt>
                <c:pt idx="3">
                  <c:v>2015/16</c:v>
                </c:pt>
                <c:pt idx="4">
                  <c:v>2016/17</c:v>
                </c:pt>
                <c:pt idx="5">
                  <c:v>2017/18</c:v>
                </c:pt>
              </c:strCache>
            </c:strRef>
          </c:cat>
          <c:val>
            <c:numRef>
              <c:f>'Other SOEs'!$E$30:$J$30</c:f>
              <c:numCache>
                <c:formatCode>0.00%</c:formatCode>
                <c:ptCount val="6"/>
                <c:pt idx="0">
                  <c:v>0.32800000000000001</c:v>
                </c:pt>
                <c:pt idx="1">
                  <c:v>0.253</c:v>
                </c:pt>
                <c:pt idx="2">
                  <c:v>0.251</c:v>
                </c:pt>
                <c:pt idx="3">
                  <c:v>0.32200000000000001</c:v>
                </c:pt>
                <c:pt idx="4">
                  <c:v>0.26</c:v>
                </c:pt>
                <c:pt idx="5">
                  <c:v>0.29299999999999998</c:v>
                </c:pt>
              </c:numCache>
            </c:numRef>
          </c:val>
          <c:smooth val="0"/>
          <c:extLst>
            <c:ext xmlns:c16="http://schemas.microsoft.com/office/drawing/2014/chart" uri="{C3380CC4-5D6E-409C-BE32-E72D297353CC}">
              <c16:uniqueId val="{00000003-E098-4BA6-A697-7B4DA5E0EDCA}"/>
            </c:ext>
          </c:extLst>
        </c:ser>
        <c:ser>
          <c:idx val="4"/>
          <c:order val="4"/>
          <c:tx>
            <c:strRef>
              <c:f>'Other SOEs'!$D$31</c:f>
              <c:strCache>
                <c:ptCount val="1"/>
                <c:pt idx="0">
                  <c:v>ROA%</c:v>
                </c:pt>
              </c:strCache>
            </c:strRef>
          </c:tx>
          <c:marker>
            <c:symbol val="none"/>
          </c:marker>
          <c:cat>
            <c:strRef>
              <c:f>'Other SOEs'!$E$26:$J$26</c:f>
              <c:strCache>
                <c:ptCount val="6"/>
                <c:pt idx="0">
                  <c:v>2012/13</c:v>
                </c:pt>
                <c:pt idx="1">
                  <c:v>2013/14</c:v>
                </c:pt>
                <c:pt idx="2">
                  <c:v>2014/15</c:v>
                </c:pt>
                <c:pt idx="3">
                  <c:v>2015/16</c:v>
                </c:pt>
                <c:pt idx="4">
                  <c:v>2016/17</c:v>
                </c:pt>
                <c:pt idx="5">
                  <c:v>2017/18</c:v>
                </c:pt>
              </c:strCache>
            </c:strRef>
          </c:cat>
          <c:val>
            <c:numRef>
              <c:f>'Other SOEs'!$E$31:$J$31</c:f>
              <c:numCache>
                <c:formatCode>0.00%</c:formatCode>
                <c:ptCount val="6"/>
                <c:pt idx="0">
                  <c:v>0.186</c:v>
                </c:pt>
                <c:pt idx="1">
                  <c:v>0.14199999999999999</c:v>
                </c:pt>
                <c:pt idx="2">
                  <c:v>0.14399999999999999</c:v>
                </c:pt>
                <c:pt idx="3">
                  <c:v>0.18099999999999999</c:v>
                </c:pt>
                <c:pt idx="4">
                  <c:v>0.14299999999999999</c:v>
                </c:pt>
                <c:pt idx="5">
                  <c:v>0.14299999999999999</c:v>
                </c:pt>
              </c:numCache>
            </c:numRef>
          </c:val>
          <c:smooth val="0"/>
          <c:extLst>
            <c:ext xmlns:c16="http://schemas.microsoft.com/office/drawing/2014/chart" uri="{C3380CC4-5D6E-409C-BE32-E72D297353CC}">
              <c16:uniqueId val="{00000004-E098-4BA6-A697-7B4DA5E0EDCA}"/>
            </c:ext>
          </c:extLst>
        </c:ser>
        <c:dLbls>
          <c:showLegendKey val="0"/>
          <c:showVal val="0"/>
          <c:showCatName val="0"/>
          <c:showSerName val="0"/>
          <c:showPercent val="0"/>
          <c:showBubbleSize val="0"/>
        </c:dLbls>
        <c:marker val="1"/>
        <c:smooth val="0"/>
        <c:axId val="2119463144"/>
        <c:axId val="2119351976"/>
      </c:lineChart>
      <c:catAx>
        <c:axId val="2119463144"/>
        <c:scaling>
          <c:orientation val="minMax"/>
        </c:scaling>
        <c:delete val="0"/>
        <c:axPos val="b"/>
        <c:numFmt formatCode="General" sourceLinked="0"/>
        <c:majorTickMark val="out"/>
        <c:minorTickMark val="none"/>
        <c:tickLblPos val="nextTo"/>
        <c:crossAx val="2119351976"/>
        <c:crosses val="autoZero"/>
        <c:auto val="1"/>
        <c:lblAlgn val="ctr"/>
        <c:lblOffset val="100"/>
        <c:noMultiLvlLbl val="0"/>
      </c:catAx>
      <c:valAx>
        <c:axId val="2119351976"/>
        <c:scaling>
          <c:orientation val="minMax"/>
        </c:scaling>
        <c:delete val="0"/>
        <c:axPos val="l"/>
        <c:majorGridlines/>
        <c:numFmt formatCode="0%" sourceLinked="1"/>
        <c:majorTickMark val="out"/>
        <c:minorTickMark val="none"/>
        <c:tickLblPos val="nextTo"/>
        <c:crossAx val="2119463144"/>
        <c:crosses val="autoZero"/>
        <c:crossBetween val="between"/>
      </c:valAx>
      <c:valAx>
        <c:axId val="2119346360"/>
        <c:scaling>
          <c:orientation val="minMax"/>
        </c:scaling>
        <c:delete val="0"/>
        <c:axPos val="r"/>
        <c:numFmt formatCode="#,##0" sourceLinked="1"/>
        <c:majorTickMark val="out"/>
        <c:minorTickMark val="none"/>
        <c:tickLblPos val="nextTo"/>
        <c:crossAx val="2119895336"/>
        <c:crosses val="max"/>
        <c:crossBetween val="between"/>
      </c:valAx>
      <c:catAx>
        <c:axId val="2119895336"/>
        <c:scaling>
          <c:orientation val="minMax"/>
        </c:scaling>
        <c:delete val="1"/>
        <c:axPos val="b"/>
        <c:numFmt formatCode="General" sourceLinked="1"/>
        <c:majorTickMark val="out"/>
        <c:minorTickMark val="none"/>
        <c:tickLblPos val="nextTo"/>
        <c:crossAx val="2119346360"/>
        <c:crosses val="autoZero"/>
        <c:auto val="1"/>
        <c:lblAlgn val="ctr"/>
        <c:lblOffset val="100"/>
        <c:noMultiLvlLbl val="0"/>
      </c:cat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Other</a:t>
            </a:r>
            <a:r>
              <a:rPr lang="en-US" sz="1000" baseline="0"/>
              <a:t> </a:t>
            </a:r>
            <a:r>
              <a:rPr lang="en-US" sz="1000"/>
              <a:t>SOE Assets and Equity</a:t>
            </a:r>
          </a:p>
        </c:rich>
      </c:tx>
      <c:overlay val="0"/>
    </c:title>
    <c:autoTitleDeleted val="0"/>
    <c:plotArea>
      <c:layout/>
      <c:barChart>
        <c:barDir val="col"/>
        <c:grouping val="clustered"/>
        <c:varyColors val="0"/>
        <c:ser>
          <c:idx val="0"/>
          <c:order val="0"/>
          <c:tx>
            <c:strRef>
              <c:f>'Other SOEs'!$D$61</c:f>
              <c:strCache>
                <c:ptCount val="1"/>
                <c:pt idx="0">
                  <c:v>Total Assets</c:v>
                </c:pt>
              </c:strCache>
            </c:strRef>
          </c:tx>
          <c:invertIfNegative val="0"/>
          <c:cat>
            <c:strRef>
              <c:f>'Other SOEs'!$E$60:$J$60</c:f>
              <c:strCache>
                <c:ptCount val="6"/>
                <c:pt idx="0">
                  <c:v>2012/13</c:v>
                </c:pt>
                <c:pt idx="1">
                  <c:v>2013/14</c:v>
                </c:pt>
                <c:pt idx="2">
                  <c:v>2014/15</c:v>
                </c:pt>
                <c:pt idx="3">
                  <c:v>2015/16</c:v>
                </c:pt>
                <c:pt idx="4">
                  <c:v>2016/17</c:v>
                </c:pt>
                <c:pt idx="5">
                  <c:v>2017/18</c:v>
                </c:pt>
              </c:strCache>
            </c:strRef>
          </c:cat>
          <c:val>
            <c:numRef>
              <c:f>'Other SOEs'!$E$61:$J$61</c:f>
              <c:numCache>
                <c:formatCode>#,##0</c:formatCode>
                <c:ptCount val="6"/>
                <c:pt idx="0">
                  <c:v>585701</c:v>
                </c:pt>
                <c:pt idx="1">
                  <c:v>624457</c:v>
                </c:pt>
                <c:pt idx="2">
                  <c:v>673200</c:v>
                </c:pt>
                <c:pt idx="3">
                  <c:v>721682</c:v>
                </c:pt>
                <c:pt idx="4">
                  <c:v>874811</c:v>
                </c:pt>
                <c:pt idx="5">
                  <c:v>1048849</c:v>
                </c:pt>
              </c:numCache>
            </c:numRef>
          </c:val>
          <c:extLst>
            <c:ext xmlns:c16="http://schemas.microsoft.com/office/drawing/2014/chart" uri="{C3380CC4-5D6E-409C-BE32-E72D297353CC}">
              <c16:uniqueId val="{00000000-7C5C-46C7-B0C1-6A9E397E2139}"/>
            </c:ext>
          </c:extLst>
        </c:ser>
        <c:ser>
          <c:idx val="1"/>
          <c:order val="1"/>
          <c:tx>
            <c:strRef>
              <c:f>'Other SOEs'!$D$62</c:f>
              <c:strCache>
                <c:ptCount val="1"/>
                <c:pt idx="0">
                  <c:v>Shareholders' Equity</c:v>
                </c:pt>
              </c:strCache>
            </c:strRef>
          </c:tx>
          <c:invertIfNegative val="0"/>
          <c:cat>
            <c:strRef>
              <c:f>'Other SOEs'!$E$60:$J$60</c:f>
              <c:strCache>
                <c:ptCount val="6"/>
                <c:pt idx="0">
                  <c:v>2012/13</c:v>
                </c:pt>
                <c:pt idx="1">
                  <c:v>2013/14</c:v>
                </c:pt>
                <c:pt idx="2">
                  <c:v>2014/15</c:v>
                </c:pt>
                <c:pt idx="3">
                  <c:v>2015/16</c:v>
                </c:pt>
                <c:pt idx="4">
                  <c:v>2016/17</c:v>
                </c:pt>
                <c:pt idx="5">
                  <c:v>2017/18</c:v>
                </c:pt>
              </c:strCache>
            </c:strRef>
          </c:cat>
          <c:val>
            <c:numRef>
              <c:f>'Other SOEs'!$E$62:$J$62</c:f>
              <c:numCache>
                <c:formatCode>#,##0</c:formatCode>
                <c:ptCount val="6"/>
                <c:pt idx="0">
                  <c:v>331480</c:v>
                </c:pt>
                <c:pt idx="1">
                  <c:v>350929</c:v>
                </c:pt>
                <c:pt idx="2">
                  <c:v>388145</c:v>
                </c:pt>
                <c:pt idx="3">
                  <c:v>404534</c:v>
                </c:pt>
                <c:pt idx="4">
                  <c:v>481217</c:v>
                </c:pt>
                <c:pt idx="5">
                  <c:v>512829</c:v>
                </c:pt>
              </c:numCache>
            </c:numRef>
          </c:val>
          <c:extLst>
            <c:ext xmlns:c16="http://schemas.microsoft.com/office/drawing/2014/chart" uri="{C3380CC4-5D6E-409C-BE32-E72D297353CC}">
              <c16:uniqueId val="{00000001-7C5C-46C7-B0C1-6A9E397E2139}"/>
            </c:ext>
          </c:extLst>
        </c:ser>
        <c:dLbls>
          <c:showLegendKey val="0"/>
          <c:showVal val="0"/>
          <c:showCatName val="0"/>
          <c:showSerName val="0"/>
          <c:showPercent val="0"/>
          <c:showBubbleSize val="0"/>
        </c:dLbls>
        <c:gapWidth val="150"/>
        <c:axId val="2089410552"/>
        <c:axId val="2089413528"/>
      </c:barChart>
      <c:catAx>
        <c:axId val="2089410552"/>
        <c:scaling>
          <c:orientation val="minMax"/>
        </c:scaling>
        <c:delete val="0"/>
        <c:axPos val="b"/>
        <c:numFmt formatCode="General" sourceLinked="0"/>
        <c:majorTickMark val="out"/>
        <c:minorTickMark val="none"/>
        <c:tickLblPos val="nextTo"/>
        <c:crossAx val="2089413528"/>
        <c:crosses val="autoZero"/>
        <c:auto val="1"/>
        <c:lblAlgn val="ctr"/>
        <c:lblOffset val="100"/>
        <c:noMultiLvlLbl val="0"/>
      </c:catAx>
      <c:valAx>
        <c:axId val="2089413528"/>
        <c:scaling>
          <c:orientation val="minMax"/>
        </c:scaling>
        <c:delete val="0"/>
        <c:axPos val="l"/>
        <c:majorGridlines/>
        <c:numFmt formatCode="#,##0" sourceLinked="1"/>
        <c:majorTickMark val="out"/>
        <c:minorTickMark val="none"/>
        <c:tickLblPos val="nextTo"/>
        <c:crossAx val="2089410552"/>
        <c:crosses val="autoZero"/>
        <c:crossBetween val="between"/>
      </c:val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n-US" sz="1000"/>
              <a:t>Minority</a:t>
            </a:r>
            <a:r>
              <a:rPr lang="en-US" sz="1000" baseline="0"/>
              <a:t> Holdings:</a:t>
            </a:r>
            <a:r>
              <a:rPr lang="en-US" sz="1000"/>
              <a:t> Assets and Equity</a:t>
            </a:r>
          </a:p>
        </c:rich>
      </c:tx>
      <c:overlay val="0"/>
    </c:title>
    <c:autoTitleDeleted val="0"/>
    <c:plotArea>
      <c:layout/>
      <c:barChart>
        <c:barDir val="col"/>
        <c:grouping val="clustered"/>
        <c:varyColors val="0"/>
        <c:ser>
          <c:idx val="0"/>
          <c:order val="0"/>
          <c:tx>
            <c:strRef>
              <c:f>Minority!$D$61</c:f>
              <c:strCache>
                <c:ptCount val="1"/>
                <c:pt idx="0">
                  <c:v>Total Assets</c:v>
                </c:pt>
              </c:strCache>
            </c:strRef>
          </c:tx>
          <c:invertIfNegative val="0"/>
          <c:cat>
            <c:strRef>
              <c:f>Minority!$E$60:$J$60</c:f>
              <c:strCache>
                <c:ptCount val="6"/>
                <c:pt idx="0">
                  <c:v>2012/13</c:v>
                </c:pt>
                <c:pt idx="1">
                  <c:v>2013/14</c:v>
                </c:pt>
                <c:pt idx="2">
                  <c:v>2014/15</c:v>
                </c:pt>
                <c:pt idx="3">
                  <c:v>2015/16</c:v>
                </c:pt>
                <c:pt idx="4">
                  <c:v>2016/17</c:v>
                </c:pt>
                <c:pt idx="5">
                  <c:v>2017/18</c:v>
                </c:pt>
              </c:strCache>
            </c:strRef>
          </c:cat>
          <c:val>
            <c:numRef>
              <c:f>Minority!$E$61:$J$61</c:f>
              <c:numCache>
                <c:formatCode>#,##0</c:formatCode>
                <c:ptCount val="6"/>
                <c:pt idx="0">
                  <c:v>9244151</c:v>
                </c:pt>
                <c:pt idx="1">
                  <c:v>11300193</c:v>
                </c:pt>
                <c:pt idx="2">
                  <c:v>12598934</c:v>
                </c:pt>
                <c:pt idx="3">
                  <c:v>14308298</c:v>
                </c:pt>
                <c:pt idx="4">
                  <c:v>13045179</c:v>
                </c:pt>
                <c:pt idx="5">
                  <c:v>14734049</c:v>
                </c:pt>
              </c:numCache>
            </c:numRef>
          </c:val>
          <c:extLst>
            <c:ext xmlns:c16="http://schemas.microsoft.com/office/drawing/2014/chart" uri="{C3380CC4-5D6E-409C-BE32-E72D297353CC}">
              <c16:uniqueId val="{00000000-48BD-4E1B-A63D-7C0CFE0D5122}"/>
            </c:ext>
          </c:extLst>
        </c:ser>
        <c:ser>
          <c:idx val="1"/>
          <c:order val="1"/>
          <c:tx>
            <c:strRef>
              <c:f>Minority!$D$62</c:f>
              <c:strCache>
                <c:ptCount val="1"/>
                <c:pt idx="0">
                  <c:v>Shareholders' Equity</c:v>
                </c:pt>
              </c:strCache>
            </c:strRef>
          </c:tx>
          <c:invertIfNegative val="0"/>
          <c:cat>
            <c:strRef>
              <c:f>Minority!$E$60:$J$60</c:f>
              <c:strCache>
                <c:ptCount val="6"/>
                <c:pt idx="0">
                  <c:v>2012/13</c:v>
                </c:pt>
                <c:pt idx="1">
                  <c:v>2013/14</c:v>
                </c:pt>
                <c:pt idx="2">
                  <c:v>2014/15</c:v>
                </c:pt>
                <c:pt idx="3">
                  <c:v>2015/16</c:v>
                </c:pt>
                <c:pt idx="4">
                  <c:v>2016/17</c:v>
                </c:pt>
                <c:pt idx="5">
                  <c:v>2017/18</c:v>
                </c:pt>
              </c:strCache>
            </c:strRef>
          </c:cat>
          <c:val>
            <c:numRef>
              <c:f>Minority!$E$62:$J$62</c:f>
              <c:numCache>
                <c:formatCode>#,##0</c:formatCode>
                <c:ptCount val="6"/>
                <c:pt idx="0">
                  <c:v>2073551</c:v>
                </c:pt>
                <c:pt idx="1">
                  <c:v>2344251</c:v>
                </c:pt>
                <c:pt idx="2">
                  <c:v>1552771</c:v>
                </c:pt>
                <c:pt idx="3">
                  <c:v>2663380</c:v>
                </c:pt>
                <c:pt idx="4">
                  <c:v>2576890</c:v>
                </c:pt>
                <c:pt idx="5">
                  <c:v>3473569</c:v>
                </c:pt>
              </c:numCache>
            </c:numRef>
          </c:val>
          <c:extLst>
            <c:ext xmlns:c16="http://schemas.microsoft.com/office/drawing/2014/chart" uri="{C3380CC4-5D6E-409C-BE32-E72D297353CC}">
              <c16:uniqueId val="{00000001-48BD-4E1B-A63D-7C0CFE0D5122}"/>
            </c:ext>
          </c:extLst>
        </c:ser>
        <c:dLbls>
          <c:showLegendKey val="0"/>
          <c:showVal val="0"/>
          <c:showCatName val="0"/>
          <c:showSerName val="0"/>
          <c:showPercent val="0"/>
          <c:showBubbleSize val="0"/>
        </c:dLbls>
        <c:gapWidth val="150"/>
        <c:axId val="2119924280"/>
        <c:axId val="2119927256"/>
      </c:barChart>
      <c:catAx>
        <c:axId val="2119924280"/>
        <c:scaling>
          <c:orientation val="minMax"/>
        </c:scaling>
        <c:delete val="0"/>
        <c:axPos val="b"/>
        <c:numFmt formatCode="General" sourceLinked="0"/>
        <c:majorTickMark val="out"/>
        <c:minorTickMark val="none"/>
        <c:tickLblPos val="nextTo"/>
        <c:crossAx val="2119927256"/>
        <c:crosses val="autoZero"/>
        <c:auto val="1"/>
        <c:lblAlgn val="ctr"/>
        <c:lblOffset val="100"/>
        <c:noMultiLvlLbl val="0"/>
      </c:catAx>
      <c:valAx>
        <c:axId val="2119927256"/>
        <c:scaling>
          <c:orientation val="minMax"/>
        </c:scaling>
        <c:delete val="0"/>
        <c:axPos val="l"/>
        <c:majorGridlines/>
        <c:numFmt formatCode="#,##0" sourceLinked="1"/>
        <c:majorTickMark val="out"/>
        <c:minorTickMark val="none"/>
        <c:tickLblPos val="nextTo"/>
        <c:crossAx val="2119924280"/>
        <c:crosses val="autoZero"/>
        <c:crossBetween val="between"/>
      </c:valAx>
    </c:plotArea>
    <c:legend>
      <c:legendPos val="b"/>
      <c:overlay val="0"/>
    </c:legend>
    <c:plotVisOnly val="1"/>
    <c:dispBlanksAs val="gap"/>
    <c:showDLblsOverMax val="0"/>
  </c:chart>
  <c:spPr>
    <a:effectLst>
      <a:outerShdw blurRad="50800" dist="38100" dir="2700000" algn="tl" rotWithShape="0">
        <a:srgbClr val="000000">
          <a:alpha val="43000"/>
        </a:srgbClr>
      </a:out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E6128-AEA9-4810-943D-7452A53C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17506</Words>
  <Characters>99787</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Drake</dc:creator>
  <cp:keywords/>
  <dc:description/>
  <cp:lastModifiedBy>Nyakallo Lazaro</cp:lastModifiedBy>
  <cp:revision>2</cp:revision>
  <cp:lastPrinted>2020-06-18T05:14:00Z</cp:lastPrinted>
  <dcterms:created xsi:type="dcterms:W3CDTF">2020-10-27T11:41:00Z</dcterms:created>
  <dcterms:modified xsi:type="dcterms:W3CDTF">2020-10-27T11:41:00Z</dcterms:modified>
  <cp:category/>
</cp:coreProperties>
</file>